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B" w:rsidRPr="00FA4F9C" w:rsidRDefault="00FA4F9C" w:rsidP="002A3594">
      <w:pPr>
        <w:spacing w:line="360" w:lineRule="auto"/>
        <w:ind w:right="-93"/>
        <w:jc w:val="center"/>
        <w:rPr>
          <w:rFonts w:ascii="Arial" w:hAnsi="Arial" w:cs="Arial"/>
          <w:b/>
          <w:sz w:val="24"/>
          <w:szCs w:val="24"/>
        </w:rPr>
      </w:pPr>
      <w:r w:rsidRPr="00FA4F9C">
        <w:rPr>
          <w:rFonts w:ascii="Arial" w:hAnsi="Arial" w:cs="Arial"/>
          <w:b/>
          <w:sz w:val="24"/>
          <w:szCs w:val="24"/>
        </w:rPr>
        <w:t>CENTRO DE INVESTIGACION Y DE ESTUDIOS AVANZADOS DEL IPN</w:t>
      </w:r>
    </w:p>
    <w:p w:rsidR="00FA4F9C" w:rsidRPr="00FA4F9C" w:rsidRDefault="00FA4F9C" w:rsidP="002A3594">
      <w:pPr>
        <w:spacing w:line="360" w:lineRule="auto"/>
        <w:ind w:right="-93"/>
        <w:jc w:val="center"/>
        <w:rPr>
          <w:rFonts w:ascii="Arial" w:hAnsi="Arial" w:cs="Arial"/>
          <w:b/>
          <w:sz w:val="24"/>
          <w:szCs w:val="24"/>
        </w:rPr>
      </w:pPr>
      <w:r w:rsidRPr="00FA4F9C">
        <w:rPr>
          <w:rFonts w:ascii="Arial" w:hAnsi="Arial" w:cs="Arial"/>
          <w:b/>
          <w:sz w:val="24"/>
          <w:szCs w:val="24"/>
        </w:rPr>
        <w:t>DEPARTAMENTO DE BIOTECNOLOGIA Y BIOINGENIERIA</w:t>
      </w:r>
    </w:p>
    <w:p w:rsidR="006A42DB" w:rsidRDefault="006A42DB" w:rsidP="002A3594">
      <w:pPr>
        <w:spacing w:line="360" w:lineRule="auto"/>
        <w:ind w:right="-93"/>
        <w:jc w:val="center"/>
        <w:rPr>
          <w:rFonts w:ascii="Arial" w:hAnsi="Arial" w:cs="Arial"/>
          <w:b/>
          <w:sz w:val="32"/>
          <w:szCs w:val="32"/>
        </w:rPr>
      </w:pPr>
    </w:p>
    <w:p w:rsidR="006A42DB" w:rsidRDefault="006A42DB" w:rsidP="002A3594">
      <w:pPr>
        <w:spacing w:line="360" w:lineRule="auto"/>
        <w:ind w:right="-93"/>
        <w:jc w:val="center"/>
        <w:rPr>
          <w:rFonts w:ascii="Arial" w:hAnsi="Arial" w:cs="Arial"/>
          <w:b/>
          <w:sz w:val="32"/>
          <w:szCs w:val="32"/>
        </w:rPr>
      </w:pPr>
    </w:p>
    <w:p w:rsidR="006A42DB" w:rsidRDefault="006A42DB" w:rsidP="002A3594">
      <w:pPr>
        <w:spacing w:line="360" w:lineRule="auto"/>
        <w:ind w:right="-93"/>
        <w:jc w:val="center"/>
        <w:rPr>
          <w:rFonts w:ascii="Arial" w:hAnsi="Arial" w:cs="Arial"/>
          <w:b/>
          <w:sz w:val="32"/>
          <w:szCs w:val="32"/>
        </w:rPr>
      </w:pPr>
    </w:p>
    <w:p w:rsidR="006A42DB" w:rsidRDefault="006A42DB" w:rsidP="002A3594">
      <w:pPr>
        <w:spacing w:line="360" w:lineRule="auto"/>
        <w:ind w:right="-93"/>
        <w:jc w:val="center"/>
        <w:rPr>
          <w:rFonts w:ascii="Arial" w:hAnsi="Arial" w:cs="Arial"/>
          <w:b/>
          <w:sz w:val="32"/>
          <w:szCs w:val="32"/>
        </w:rPr>
      </w:pPr>
    </w:p>
    <w:p w:rsidR="00984B01" w:rsidRDefault="00984B01" w:rsidP="00984B01">
      <w:pPr>
        <w:spacing w:line="360" w:lineRule="auto"/>
        <w:ind w:right="-93"/>
        <w:jc w:val="center"/>
        <w:rPr>
          <w:rFonts w:ascii="Arial" w:hAnsi="Arial" w:cs="Arial"/>
          <w:b/>
          <w:sz w:val="36"/>
          <w:szCs w:val="36"/>
        </w:rPr>
      </w:pPr>
      <w:r w:rsidRPr="00FA4F9C">
        <w:rPr>
          <w:rFonts w:ascii="Arial" w:hAnsi="Arial" w:cs="Arial"/>
          <w:b/>
          <w:sz w:val="36"/>
          <w:szCs w:val="36"/>
        </w:rPr>
        <w:t>SOLICITUD DE PERMI</w:t>
      </w:r>
      <w:r>
        <w:rPr>
          <w:rFonts w:ascii="Arial" w:hAnsi="Arial" w:cs="Arial"/>
          <w:b/>
          <w:sz w:val="36"/>
          <w:szCs w:val="36"/>
        </w:rPr>
        <w:t xml:space="preserve">SO DE LIBERACIÓN AL AMBIENTE </w:t>
      </w:r>
      <w:r w:rsidRPr="00FA4F9C">
        <w:rPr>
          <w:rFonts w:ascii="Arial" w:hAnsi="Arial" w:cs="Arial"/>
          <w:b/>
          <w:sz w:val="36"/>
          <w:szCs w:val="36"/>
        </w:rPr>
        <w:t>EN ETAPA EXPERIMENTAL</w:t>
      </w:r>
    </w:p>
    <w:p w:rsidR="00984B01" w:rsidRDefault="00984B01" w:rsidP="00984B01">
      <w:pPr>
        <w:spacing w:line="360" w:lineRule="auto"/>
        <w:ind w:right="-93"/>
        <w:jc w:val="center"/>
        <w:rPr>
          <w:rFonts w:ascii="Arial" w:hAnsi="Arial" w:cs="Arial"/>
          <w:b/>
          <w:sz w:val="36"/>
          <w:szCs w:val="36"/>
        </w:rPr>
      </w:pPr>
    </w:p>
    <w:p w:rsidR="00984B01" w:rsidRDefault="00984B01" w:rsidP="00984B01">
      <w:pPr>
        <w:spacing w:line="360" w:lineRule="auto"/>
        <w:ind w:right="-93"/>
        <w:jc w:val="center"/>
        <w:rPr>
          <w:rFonts w:ascii="Arial" w:hAnsi="Arial" w:cs="Arial"/>
          <w:b/>
          <w:sz w:val="36"/>
          <w:szCs w:val="36"/>
        </w:rPr>
      </w:pPr>
      <w:r w:rsidRPr="00FA4F9C">
        <w:rPr>
          <w:rFonts w:ascii="Arial" w:hAnsi="Arial" w:cs="Arial"/>
          <w:b/>
          <w:sz w:val="36"/>
          <w:szCs w:val="36"/>
        </w:rPr>
        <w:t>CITRICOS GENÉTICAMENTE MODIFICADOS CON RESISTENCIA A HLB.</w:t>
      </w:r>
    </w:p>
    <w:p w:rsidR="006A42DB" w:rsidRDefault="006A42DB" w:rsidP="002A3594">
      <w:pPr>
        <w:spacing w:line="360" w:lineRule="auto"/>
        <w:ind w:right="-93"/>
        <w:jc w:val="both"/>
        <w:rPr>
          <w:rFonts w:ascii="Arial" w:hAnsi="Arial" w:cs="Arial"/>
          <w:b/>
          <w:sz w:val="24"/>
          <w:szCs w:val="24"/>
        </w:rPr>
      </w:pPr>
    </w:p>
    <w:p w:rsidR="006A42DB" w:rsidRPr="00FA4F9C" w:rsidRDefault="00FA4F9C" w:rsidP="002A3594">
      <w:pPr>
        <w:spacing w:line="360" w:lineRule="auto"/>
        <w:ind w:right="-93"/>
        <w:jc w:val="center"/>
        <w:rPr>
          <w:rFonts w:ascii="Arial" w:hAnsi="Arial" w:cs="Arial"/>
          <w:i/>
          <w:sz w:val="36"/>
          <w:szCs w:val="36"/>
        </w:rPr>
      </w:pPr>
      <w:r w:rsidRPr="00FA4F9C">
        <w:rPr>
          <w:rFonts w:ascii="Arial" w:hAnsi="Arial" w:cs="Arial"/>
          <w:i/>
          <w:sz w:val="36"/>
          <w:szCs w:val="36"/>
        </w:rPr>
        <w:t xml:space="preserve">Versión con Información </w:t>
      </w:r>
      <w:r w:rsidR="004439C8">
        <w:rPr>
          <w:rFonts w:ascii="Arial" w:hAnsi="Arial" w:cs="Arial"/>
          <w:i/>
          <w:sz w:val="36"/>
          <w:szCs w:val="36"/>
        </w:rPr>
        <w:t>Pública</w:t>
      </w:r>
    </w:p>
    <w:p w:rsidR="00FA4F9C" w:rsidRDefault="00FA4F9C" w:rsidP="002A3594">
      <w:pPr>
        <w:spacing w:line="360" w:lineRule="auto"/>
        <w:ind w:right="-93"/>
        <w:jc w:val="both"/>
        <w:rPr>
          <w:rFonts w:ascii="Arial" w:hAnsi="Arial" w:cs="Arial"/>
          <w:b/>
          <w:sz w:val="24"/>
          <w:szCs w:val="24"/>
        </w:rPr>
      </w:pPr>
    </w:p>
    <w:p w:rsidR="006A42DB" w:rsidRPr="00FA4F9C" w:rsidRDefault="006A42DB" w:rsidP="002A3594">
      <w:pPr>
        <w:spacing w:line="360" w:lineRule="auto"/>
        <w:ind w:right="-93"/>
        <w:jc w:val="both"/>
        <w:rPr>
          <w:rFonts w:ascii="Arial" w:hAnsi="Arial" w:cs="Arial"/>
          <w:b/>
          <w:sz w:val="28"/>
          <w:szCs w:val="28"/>
        </w:rPr>
      </w:pPr>
      <w:r w:rsidRPr="00FA4F9C">
        <w:rPr>
          <w:rFonts w:ascii="Arial" w:hAnsi="Arial" w:cs="Arial"/>
          <w:b/>
          <w:sz w:val="28"/>
          <w:szCs w:val="28"/>
        </w:rPr>
        <w:t>Promovente: Dra. Beatriz Xoconostle Cázares</w:t>
      </w:r>
      <w:bookmarkStart w:id="0" w:name="_GoBack"/>
      <w:bookmarkEnd w:id="0"/>
    </w:p>
    <w:p w:rsidR="006A42DB" w:rsidRPr="00FA4F9C" w:rsidRDefault="006A42DB" w:rsidP="002A3594">
      <w:pPr>
        <w:spacing w:line="360" w:lineRule="auto"/>
        <w:ind w:right="-93"/>
        <w:jc w:val="both"/>
        <w:rPr>
          <w:rFonts w:ascii="Arial" w:hAnsi="Arial" w:cs="Arial"/>
          <w:b/>
          <w:sz w:val="28"/>
          <w:szCs w:val="28"/>
        </w:rPr>
      </w:pPr>
      <w:r w:rsidRPr="00FA4F9C">
        <w:rPr>
          <w:rFonts w:ascii="Arial" w:hAnsi="Arial" w:cs="Arial"/>
          <w:b/>
          <w:sz w:val="28"/>
          <w:szCs w:val="28"/>
        </w:rPr>
        <w:t>Depto. de Biotecnología y Bioingeniería</w:t>
      </w:r>
    </w:p>
    <w:p w:rsidR="006A42DB" w:rsidRPr="00FA4F9C" w:rsidRDefault="006A42DB" w:rsidP="002A3594">
      <w:pPr>
        <w:spacing w:line="360" w:lineRule="auto"/>
        <w:ind w:right="-93"/>
        <w:jc w:val="both"/>
        <w:rPr>
          <w:rFonts w:ascii="Arial" w:hAnsi="Arial" w:cs="Arial"/>
          <w:b/>
          <w:sz w:val="28"/>
          <w:szCs w:val="28"/>
        </w:rPr>
      </w:pPr>
      <w:r w:rsidRPr="00FA4F9C">
        <w:rPr>
          <w:rFonts w:ascii="Arial" w:hAnsi="Arial" w:cs="Arial"/>
          <w:b/>
          <w:sz w:val="28"/>
          <w:szCs w:val="28"/>
        </w:rPr>
        <w:t>CINVESTAV Ciudad de México</w:t>
      </w:r>
    </w:p>
    <w:p w:rsidR="006A42DB" w:rsidRDefault="006A42DB" w:rsidP="002A3594">
      <w:pPr>
        <w:ind w:right="-93"/>
        <w:rPr>
          <w:rFonts w:ascii="Arial" w:hAnsi="Arial" w:cs="Arial"/>
          <w:b/>
          <w:sz w:val="24"/>
          <w:szCs w:val="24"/>
        </w:rPr>
      </w:pPr>
      <w:r>
        <w:rPr>
          <w:rFonts w:ascii="Arial" w:hAnsi="Arial" w:cs="Arial"/>
          <w:b/>
          <w:sz w:val="24"/>
          <w:szCs w:val="24"/>
        </w:rPr>
        <w:br w:type="page"/>
      </w: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Default="006A42DB" w:rsidP="002A3594">
      <w:pPr>
        <w:ind w:right="-93"/>
        <w:rPr>
          <w:rFonts w:ascii="Arial" w:hAnsi="Arial" w:cs="Arial"/>
          <w:b/>
          <w:sz w:val="24"/>
          <w:szCs w:val="24"/>
        </w:rPr>
      </w:pPr>
    </w:p>
    <w:p w:rsidR="006A42DB" w:rsidRPr="007A3093" w:rsidRDefault="006A42DB" w:rsidP="00571349">
      <w:pPr>
        <w:ind w:left="3261" w:right="-93"/>
        <w:jc w:val="right"/>
        <w:rPr>
          <w:rFonts w:ascii="Arial" w:hAnsi="Arial" w:cs="Arial"/>
          <w:i/>
          <w:sz w:val="32"/>
          <w:szCs w:val="32"/>
        </w:rPr>
      </w:pPr>
      <w:r w:rsidRPr="007A3093">
        <w:rPr>
          <w:rFonts w:ascii="Arial" w:hAnsi="Arial" w:cs="Arial"/>
          <w:i/>
          <w:sz w:val="32"/>
          <w:szCs w:val="32"/>
        </w:rPr>
        <w:t>Hemos llegado hasta aquí pues nos subimos a hombros de gigantes.</w:t>
      </w:r>
    </w:p>
    <w:p w:rsidR="00D63E13" w:rsidRPr="00D63E13" w:rsidRDefault="00D63E13" w:rsidP="002A3594">
      <w:pPr>
        <w:ind w:right="-93"/>
        <w:jc w:val="right"/>
        <w:rPr>
          <w:rFonts w:ascii="Arial" w:hAnsi="Arial" w:cs="Arial"/>
          <w:sz w:val="24"/>
          <w:szCs w:val="24"/>
        </w:rPr>
      </w:pPr>
      <w:r w:rsidRPr="00D63E13">
        <w:rPr>
          <w:rFonts w:ascii="Arial" w:hAnsi="Arial" w:cs="Arial"/>
          <w:sz w:val="24"/>
          <w:szCs w:val="24"/>
        </w:rPr>
        <w:t xml:space="preserve">Bernardus </w:t>
      </w:r>
      <w:r>
        <w:rPr>
          <w:rFonts w:ascii="Arial" w:hAnsi="Arial" w:cs="Arial"/>
          <w:sz w:val="24"/>
          <w:szCs w:val="24"/>
        </w:rPr>
        <w:t>de Chartres</w:t>
      </w:r>
      <w:r w:rsidRPr="00D63E13">
        <w:rPr>
          <w:rFonts w:ascii="Arial" w:hAnsi="Arial" w:cs="Arial"/>
          <w:sz w:val="24"/>
          <w:szCs w:val="24"/>
        </w:rPr>
        <w:t>, 1130.</w:t>
      </w:r>
    </w:p>
    <w:p w:rsidR="006A42DB" w:rsidRDefault="006A42DB" w:rsidP="002A3594">
      <w:pPr>
        <w:ind w:right="-93"/>
        <w:rPr>
          <w:rFonts w:ascii="Arial" w:hAnsi="Arial" w:cs="Arial"/>
          <w:b/>
          <w:sz w:val="24"/>
          <w:szCs w:val="24"/>
        </w:rPr>
      </w:pPr>
      <w:r>
        <w:rPr>
          <w:rFonts w:ascii="Arial" w:hAnsi="Arial" w:cs="Arial"/>
          <w:b/>
          <w:sz w:val="24"/>
          <w:szCs w:val="24"/>
        </w:rPr>
        <w:br w:type="page"/>
      </w:r>
    </w:p>
    <w:p w:rsidR="00BD01C9" w:rsidRDefault="00BD01C9" w:rsidP="002A3594">
      <w:pPr>
        <w:spacing w:line="360" w:lineRule="auto"/>
        <w:ind w:right="-93"/>
        <w:jc w:val="both"/>
        <w:rPr>
          <w:rFonts w:ascii="Arial" w:hAnsi="Arial" w:cs="Arial"/>
          <w:b/>
          <w:sz w:val="24"/>
          <w:szCs w:val="24"/>
        </w:rPr>
      </w:pPr>
      <w:r>
        <w:rPr>
          <w:rFonts w:ascii="Arial" w:hAnsi="Arial" w:cs="Arial"/>
          <w:b/>
          <w:sz w:val="24"/>
          <w:szCs w:val="24"/>
        </w:rPr>
        <w:lastRenderedPageBreak/>
        <w:t>Resumen</w:t>
      </w:r>
    </w:p>
    <w:p w:rsidR="00CC5586" w:rsidRDefault="00DD63E9" w:rsidP="002A3594">
      <w:pPr>
        <w:spacing w:line="360" w:lineRule="auto"/>
        <w:ind w:right="-93"/>
        <w:jc w:val="both"/>
        <w:rPr>
          <w:rFonts w:ascii="Arial" w:hAnsi="Arial" w:cs="Arial"/>
          <w:sz w:val="24"/>
          <w:szCs w:val="24"/>
        </w:rPr>
      </w:pPr>
      <w:r>
        <w:rPr>
          <w:rFonts w:ascii="Arial" w:hAnsi="Arial" w:cs="Arial"/>
          <w:sz w:val="24"/>
          <w:szCs w:val="24"/>
        </w:rPr>
        <w:t>Huanglongbing (HLB) es una enfermedad destructiva,</w:t>
      </w:r>
      <w:r w:rsidRPr="00DD63E9">
        <w:rPr>
          <w:rFonts w:ascii="Arial" w:hAnsi="Arial" w:cs="Arial"/>
          <w:sz w:val="24"/>
          <w:szCs w:val="24"/>
        </w:rPr>
        <w:t xml:space="preserve"> que potencialmente puede causar pérdidas totales en la producción de cítricos en México y en el resto del mundo. Los síntomas </w:t>
      </w:r>
      <w:r>
        <w:rPr>
          <w:rFonts w:ascii="Arial" w:hAnsi="Arial" w:cs="Arial"/>
          <w:sz w:val="24"/>
          <w:szCs w:val="24"/>
        </w:rPr>
        <w:t>son</w:t>
      </w:r>
      <w:r w:rsidRPr="00DD63E9">
        <w:rPr>
          <w:rFonts w:ascii="Arial" w:hAnsi="Arial" w:cs="Arial"/>
          <w:sz w:val="24"/>
          <w:szCs w:val="24"/>
        </w:rPr>
        <w:t xml:space="preserve"> amarillamiento de las hojas, menor producción de frutos, </w:t>
      </w:r>
      <w:r>
        <w:rPr>
          <w:rFonts w:ascii="Arial" w:hAnsi="Arial" w:cs="Arial"/>
          <w:sz w:val="24"/>
          <w:szCs w:val="24"/>
        </w:rPr>
        <w:t xml:space="preserve">y eventualmente muerte de árbol enfermo. A la fecha </w:t>
      </w:r>
      <w:r w:rsidRPr="00DD63E9">
        <w:rPr>
          <w:rFonts w:ascii="Arial" w:hAnsi="Arial" w:cs="Arial"/>
          <w:sz w:val="24"/>
          <w:szCs w:val="24"/>
        </w:rPr>
        <w:t>no existe un tratamiento</w:t>
      </w:r>
      <w:r>
        <w:rPr>
          <w:rFonts w:ascii="Arial" w:hAnsi="Arial" w:cs="Arial"/>
          <w:sz w:val="24"/>
          <w:szCs w:val="24"/>
        </w:rPr>
        <w:t xml:space="preserve"> eficaz y </w:t>
      </w:r>
      <w:r w:rsidRPr="00DD63E9">
        <w:rPr>
          <w:rFonts w:ascii="Arial" w:hAnsi="Arial" w:cs="Arial"/>
          <w:sz w:val="24"/>
          <w:szCs w:val="24"/>
        </w:rPr>
        <w:t>se considera como la principal amenaza a la producción de cítricos (</w:t>
      </w:r>
      <w:hyperlink r:id="rId9" w:history="1">
        <w:r w:rsidRPr="00A460A4">
          <w:rPr>
            <w:rStyle w:val="Hipervnculo"/>
            <w:rFonts w:ascii="Arial" w:hAnsi="Arial" w:cs="Arial"/>
            <w:sz w:val="24"/>
            <w:szCs w:val="24"/>
          </w:rPr>
          <w:t>www.senasica.gob.mx</w:t>
        </w:r>
      </w:hyperlink>
      <w:r w:rsidRPr="00DD63E9">
        <w:rPr>
          <w:rFonts w:ascii="Arial" w:hAnsi="Arial" w:cs="Arial"/>
          <w:sz w:val="24"/>
          <w:szCs w:val="24"/>
        </w:rPr>
        <w:t>).</w:t>
      </w:r>
      <w:r>
        <w:rPr>
          <w:rFonts w:ascii="Arial" w:hAnsi="Arial" w:cs="Arial"/>
          <w:sz w:val="24"/>
          <w:szCs w:val="24"/>
        </w:rPr>
        <w:t xml:space="preserve"> El agente causal del HLB es la bacteria no cultivable </w:t>
      </w:r>
      <w:r w:rsidRPr="00CC5586">
        <w:rPr>
          <w:rFonts w:ascii="Arial" w:hAnsi="Arial" w:cs="Arial"/>
          <w:i/>
          <w:sz w:val="24"/>
          <w:szCs w:val="24"/>
        </w:rPr>
        <w:t>Candidatus</w:t>
      </w:r>
      <w:r>
        <w:rPr>
          <w:rFonts w:ascii="Arial" w:hAnsi="Arial" w:cs="Arial"/>
          <w:sz w:val="24"/>
          <w:szCs w:val="24"/>
        </w:rPr>
        <w:t xml:space="preserve"> Liberibacter asiaticus, cuyo hábitat se restringe al tejido vascular del floema en cítricos</w:t>
      </w:r>
      <w:r w:rsidR="00CC5586">
        <w:rPr>
          <w:rFonts w:ascii="Arial" w:hAnsi="Arial" w:cs="Arial"/>
          <w:sz w:val="24"/>
          <w:szCs w:val="24"/>
        </w:rPr>
        <w:t xml:space="preserve">. La bacteria es transmitida por el psílido </w:t>
      </w:r>
      <w:r w:rsidR="00CC5586" w:rsidRPr="00CC5586">
        <w:rPr>
          <w:rFonts w:ascii="Arial" w:hAnsi="Arial" w:cs="Arial"/>
          <w:i/>
          <w:sz w:val="24"/>
          <w:szCs w:val="24"/>
        </w:rPr>
        <w:t>Diaphorina citri</w:t>
      </w:r>
      <w:r w:rsidRPr="00CC5586">
        <w:rPr>
          <w:rFonts w:ascii="Arial" w:hAnsi="Arial" w:cs="Arial"/>
          <w:i/>
          <w:sz w:val="24"/>
          <w:szCs w:val="24"/>
        </w:rPr>
        <w:t>.</w:t>
      </w:r>
    </w:p>
    <w:p w:rsidR="00DD63E9" w:rsidRPr="00026D4C" w:rsidRDefault="00DD63E9" w:rsidP="002A3594">
      <w:pPr>
        <w:spacing w:line="360" w:lineRule="auto"/>
        <w:ind w:right="-93"/>
        <w:jc w:val="both"/>
        <w:rPr>
          <w:rFonts w:ascii="Arial" w:hAnsi="Arial" w:cs="Arial"/>
          <w:sz w:val="24"/>
          <w:szCs w:val="24"/>
        </w:rPr>
      </w:pPr>
      <w:r>
        <w:rPr>
          <w:rFonts w:ascii="Arial" w:hAnsi="Arial" w:cs="Arial"/>
          <w:sz w:val="24"/>
          <w:szCs w:val="24"/>
        </w:rPr>
        <w:t xml:space="preserve"> En el presente solicitud de permiso de siembra experimental se propone el uso de cítricos modificados genéticamente, expresando proteínas antimicrobianas</w:t>
      </w:r>
      <w:r w:rsidR="004439C8">
        <w:rPr>
          <w:rFonts w:ascii="Arial" w:hAnsi="Arial" w:cs="Arial"/>
          <w:sz w:val="24"/>
          <w:szCs w:val="24"/>
        </w:rPr>
        <w:t>.</w:t>
      </w:r>
      <w:r w:rsidR="00CC5586">
        <w:rPr>
          <w:rFonts w:ascii="Arial" w:hAnsi="Arial" w:cs="Arial"/>
          <w:sz w:val="24"/>
          <w:szCs w:val="24"/>
        </w:rPr>
        <w:t>Para este propósito, se ha</w:t>
      </w:r>
      <w:r>
        <w:rPr>
          <w:rFonts w:ascii="Arial" w:hAnsi="Arial" w:cs="Arial"/>
          <w:sz w:val="24"/>
          <w:szCs w:val="24"/>
        </w:rPr>
        <w:t xml:space="preserve"> generado </w:t>
      </w:r>
      <w:r w:rsidR="00CC5586">
        <w:rPr>
          <w:rFonts w:ascii="Arial" w:hAnsi="Arial" w:cs="Arial"/>
          <w:sz w:val="24"/>
          <w:szCs w:val="24"/>
        </w:rPr>
        <w:t>limón mexicano</w:t>
      </w:r>
      <w:r w:rsidR="004439C8">
        <w:rPr>
          <w:rFonts w:ascii="Arial" w:hAnsi="Arial" w:cs="Arial"/>
          <w:sz w:val="24"/>
          <w:szCs w:val="24"/>
        </w:rPr>
        <w:t xml:space="preserve"> GM. </w:t>
      </w:r>
      <w:r w:rsidR="00CC5586">
        <w:rPr>
          <w:rFonts w:ascii="Arial" w:hAnsi="Arial" w:cs="Arial"/>
          <w:sz w:val="24"/>
          <w:szCs w:val="24"/>
        </w:rPr>
        <w:t xml:space="preserve">Se pretende realizar la siembra experimental en </w:t>
      </w:r>
      <w:r w:rsidR="004439C8">
        <w:rPr>
          <w:rFonts w:ascii="Arial" w:hAnsi="Arial" w:cs="Arial"/>
          <w:sz w:val="24"/>
          <w:szCs w:val="24"/>
        </w:rPr>
        <w:t>un área citrícola</w:t>
      </w:r>
      <w:r w:rsidR="00CC5586">
        <w:rPr>
          <w:rFonts w:ascii="Arial" w:hAnsi="Arial" w:cs="Arial"/>
          <w:sz w:val="24"/>
          <w:szCs w:val="24"/>
        </w:rPr>
        <w:t xml:space="preserve"> endémic</w:t>
      </w:r>
      <w:r w:rsidR="004439C8">
        <w:rPr>
          <w:rFonts w:ascii="Arial" w:hAnsi="Arial" w:cs="Arial"/>
          <w:sz w:val="24"/>
          <w:szCs w:val="24"/>
        </w:rPr>
        <w:t xml:space="preserve">a a </w:t>
      </w:r>
      <w:r w:rsidR="00CC5586">
        <w:rPr>
          <w:rFonts w:ascii="Arial" w:hAnsi="Arial" w:cs="Arial"/>
          <w:sz w:val="24"/>
          <w:szCs w:val="24"/>
        </w:rPr>
        <w:t xml:space="preserve">HLB. La evaluación en campo nos permitirá estudiar la protección de las plantas en condiciones naturales de infección, y así adecuar la </w:t>
      </w:r>
      <w:r w:rsidRPr="00026D4C">
        <w:rPr>
          <w:rFonts w:ascii="Arial" w:hAnsi="Arial" w:cs="Arial"/>
          <w:sz w:val="24"/>
          <w:szCs w:val="24"/>
        </w:rPr>
        <w:t>tecnología a los requerimientos propios de nuestro país.</w:t>
      </w:r>
    </w:p>
    <w:p w:rsidR="00BD01C9" w:rsidRDefault="00BD01C9" w:rsidP="002A3594">
      <w:pPr>
        <w:spacing w:line="360" w:lineRule="auto"/>
        <w:ind w:right="-93"/>
        <w:jc w:val="both"/>
        <w:rPr>
          <w:rFonts w:ascii="Arial" w:hAnsi="Arial" w:cs="Arial"/>
          <w:b/>
          <w:sz w:val="24"/>
          <w:szCs w:val="24"/>
        </w:rPr>
      </w:pPr>
    </w:p>
    <w:p w:rsidR="00CC5586" w:rsidRDefault="00CC5586" w:rsidP="002A3594">
      <w:pPr>
        <w:rPr>
          <w:rFonts w:ascii="Arial" w:hAnsi="Arial" w:cs="Arial"/>
          <w:b/>
          <w:sz w:val="24"/>
          <w:szCs w:val="24"/>
        </w:rPr>
      </w:pPr>
      <w:r>
        <w:rPr>
          <w:rFonts w:ascii="Arial" w:hAnsi="Arial" w:cs="Arial"/>
          <w:b/>
          <w:sz w:val="24"/>
          <w:szCs w:val="24"/>
        </w:rPr>
        <w:br w:type="page"/>
      </w:r>
    </w:p>
    <w:p w:rsidR="009D6A83" w:rsidRDefault="0094501C" w:rsidP="002A3594">
      <w:pPr>
        <w:spacing w:line="480" w:lineRule="auto"/>
        <w:jc w:val="both"/>
        <w:rPr>
          <w:rFonts w:ascii="Arial" w:hAnsi="Arial" w:cs="Arial"/>
          <w:b/>
          <w:sz w:val="24"/>
          <w:szCs w:val="24"/>
        </w:rPr>
      </w:pPr>
      <w:r>
        <w:rPr>
          <w:rFonts w:ascii="Arial" w:hAnsi="Arial" w:cs="Arial"/>
          <w:b/>
          <w:sz w:val="24"/>
          <w:szCs w:val="24"/>
        </w:rPr>
        <w:lastRenderedPageBreak/>
        <w:t>Órgano</w:t>
      </w:r>
      <w:r w:rsidR="009D6A83">
        <w:rPr>
          <w:rFonts w:ascii="Arial" w:hAnsi="Arial" w:cs="Arial"/>
          <w:b/>
          <w:sz w:val="24"/>
          <w:szCs w:val="24"/>
        </w:rPr>
        <w:t xml:space="preserve"> de la Secretaría Competente a la que se Dirige la Solicitud</w:t>
      </w:r>
    </w:p>
    <w:p w:rsidR="009D6A83" w:rsidRDefault="009D6A83" w:rsidP="002A3594">
      <w:pPr>
        <w:spacing w:line="360" w:lineRule="auto"/>
        <w:jc w:val="both"/>
        <w:rPr>
          <w:rFonts w:ascii="Arial" w:hAnsi="Arial" w:cs="Arial"/>
          <w:sz w:val="24"/>
          <w:szCs w:val="24"/>
        </w:rPr>
      </w:pPr>
      <w:r w:rsidRPr="009D6A83">
        <w:rPr>
          <w:rFonts w:ascii="Arial" w:hAnsi="Arial" w:cs="Arial"/>
          <w:sz w:val="24"/>
          <w:szCs w:val="24"/>
        </w:rPr>
        <w:t xml:space="preserve">De acuerdo al </w:t>
      </w:r>
      <w:r>
        <w:rPr>
          <w:rFonts w:ascii="Arial" w:hAnsi="Arial" w:cs="Arial"/>
          <w:sz w:val="24"/>
          <w:szCs w:val="24"/>
        </w:rPr>
        <w:t>Artículo 12, Fracción I de la LBOGM, la autoridad competente responsable de la emisión del permiso solicitado es la SAGARPA, quien ante el Registro federal de Trámites de la Comisión Federal de la Mejora Regulatoria registró como responsable del trámite a la Dirección de Inocuidad Agroalimentaria, Acuícola y Pesquera del Servicio Nacional de Sanidad, Inocuidad y Calidad Agroalimentaria.</w:t>
      </w:r>
    </w:p>
    <w:p w:rsidR="009D6A83" w:rsidRDefault="009D6A83" w:rsidP="002A3594">
      <w:pPr>
        <w:spacing w:line="360" w:lineRule="auto"/>
        <w:jc w:val="both"/>
        <w:rPr>
          <w:rFonts w:ascii="Arial" w:hAnsi="Arial" w:cs="Arial"/>
          <w:sz w:val="24"/>
          <w:szCs w:val="24"/>
        </w:rPr>
      </w:pPr>
      <w:r>
        <w:rPr>
          <w:rFonts w:ascii="Arial" w:hAnsi="Arial" w:cs="Arial"/>
          <w:sz w:val="24"/>
          <w:szCs w:val="24"/>
        </w:rPr>
        <w:t>Dirección: Guillermo Pérez Valenzuela 127, Edificio Principal, Planta Baja</w:t>
      </w:r>
    </w:p>
    <w:p w:rsidR="009D6A83" w:rsidRDefault="009D6A83" w:rsidP="002A3594">
      <w:pPr>
        <w:spacing w:line="360" w:lineRule="auto"/>
        <w:jc w:val="both"/>
        <w:rPr>
          <w:rFonts w:ascii="Arial" w:hAnsi="Arial" w:cs="Arial"/>
          <w:sz w:val="24"/>
          <w:szCs w:val="24"/>
        </w:rPr>
      </w:pPr>
      <w:r>
        <w:rPr>
          <w:rFonts w:ascii="Arial" w:hAnsi="Arial" w:cs="Arial"/>
          <w:sz w:val="24"/>
          <w:szCs w:val="24"/>
        </w:rPr>
        <w:t>Colonia del Carmen Coyoacán.</w:t>
      </w:r>
    </w:p>
    <w:p w:rsidR="009D6A83" w:rsidRDefault="009D6A83" w:rsidP="002A3594">
      <w:pPr>
        <w:spacing w:line="360" w:lineRule="auto"/>
        <w:jc w:val="both"/>
        <w:rPr>
          <w:rFonts w:ascii="Arial" w:hAnsi="Arial" w:cs="Arial"/>
          <w:sz w:val="24"/>
          <w:szCs w:val="24"/>
        </w:rPr>
      </w:pPr>
      <w:r>
        <w:rPr>
          <w:rFonts w:ascii="Arial" w:hAnsi="Arial" w:cs="Arial"/>
          <w:sz w:val="24"/>
          <w:szCs w:val="24"/>
        </w:rPr>
        <w:t>C.P. 04100, México D.F.</w:t>
      </w:r>
    </w:p>
    <w:p w:rsidR="009D6A83" w:rsidRDefault="009D6A83" w:rsidP="002A3594">
      <w:pPr>
        <w:spacing w:line="360" w:lineRule="auto"/>
        <w:jc w:val="both"/>
        <w:rPr>
          <w:rFonts w:ascii="Arial" w:hAnsi="Arial" w:cs="Arial"/>
          <w:sz w:val="24"/>
          <w:szCs w:val="24"/>
        </w:rPr>
      </w:pPr>
    </w:p>
    <w:p w:rsidR="009D6A83" w:rsidRDefault="009D6A83" w:rsidP="002A3594">
      <w:pPr>
        <w:spacing w:line="360" w:lineRule="auto"/>
        <w:jc w:val="both"/>
        <w:rPr>
          <w:rFonts w:ascii="Arial" w:hAnsi="Arial" w:cs="Arial"/>
          <w:sz w:val="24"/>
          <w:szCs w:val="24"/>
        </w:rPr>
      </w:pPr>
      <w:r w:rsidRPr="009D6A83">
        <w:rPr>
          <w:rFonts w:ascii="Arial" w:hAnsi="Arial" w:cs="Arial"/>
          <w:sz w:val="24"/>
          <w:szCs w:val="24"/>
        </w:rPr>
        <w:t xml:space="preserve">De acuerdo al </w:t>
      </w:r>
      <w:r>
        <w:rPr>
          <w:rFonts w:ascii="Arial" w:hAnsi="Arial" w:cs="Arial"/>
          <w:sz w:val="24"/>
          <w:szCs w:val="24"/>
        </w:rPr>
        <w:t>Artículo 12, Fracción I de la LBOGM, la autoridad competente responsable de la emisión del permiso solicitado es la SAGARPA, quien ante el Registro federal de Trámites de la Comisión Federal de la Mejora Regulatoria registró como responsable del trámite a la Dra. Beatriz Xoconostle Cázares</w:t>
      </w:r>
    </w:p>
    <w:p w:rsidR="009D6A83" w:rsidRDefault="009D6A83" w:rsidP="002A3594">
      <w:pPr>
        <w:jc w:val="right"/>
        <w:rPr>
          <w:rFonts w:ascii="Arial" w:hAnsi="Arial" w:cs="Arial"/>
          <w:sz w:val="24"/>
          <w:szCs w:val="24"/>
        </w:rPr>
      </w:pPr>
      <w:r>
        <w:rPr>
          <w:rFonts w:ascii="Arial" w:hAnsi="Arial" w:cs="Arial"/>
          <w:sz w:val="24"/>
          <w:szCs w:val="24"/>
        </w:rPr>
        <w:t>México D.F. a 30 de julio, 2014.</w:t>
      </w:r>
    </w:p>
    <w:p w:rsidR="009D6A83" w:rsidRDefault="009D6A83" w:rsidP="002A3594">
      <w:pPr>
        <w:rPr>
          <w:rFonts w:ascii="Arial" w:hAnsi="Arial" w:cs="Arial"/>
          <w:sz w:val="24"/>
          <w:szCs w:val="24"/>
        </w:rPr>
      </w:pPr>
      <w:r>
        <w:rPr>
          <w:rFonts w:ascii="Arial" w:hAnsi="Arial" w:cs="Arial"/>
          <w:sz w:val="24"/>
          <w:szCs w:val="24"/>
        </w:rPr>
        <w:t>Firma de la interesada</w:t>
      </w:r>
    </w:p>
    <w:p w:rsidR="009D6A83" w:rsidRDefault="009D6A83" w:rsidP="002A3594">
      <w:pPr>
        <w:rPr>
          <w:rFonts w:ascii="Arial" w:hAnsi="Arial" w:cs="Arial"/>
          <w:sz w:val="24"/>
          <w:szCs w:val="24"/>
        </w:rPr>
      </w:pPr>
    </w:p>
    <w:p w:rsidR="009D6A83" w:rsidRDefault="009D6A83" w:rsidP="002A3594">
      <w:pPr>
        <w:rPr>
          <w:rFonts w:ascii="Arial" w:hAnsi="Arial" w:cs="Arial"/>
          <w:sz w:val="24"/>
          <w:szCs w:val="24"/>
        </w:rPr>
      </w:pPr>
      <w:r>
        <w:rPr>
          <w:rFonts w:ascii="Arial" w:hAnsi="Arial" w:cs="Arial"/>
          <w:sz w:val="24"/>
          <w:szCs w:val="24"/>
        </w:rPr>
        <w:t>Beatriz Xoconostle Cázares</w:t>
      </w:r>
    </w:p>
    <w:p w:rsidR="009D6A83" w:rsidRDefault="009D6A83" w:rsidP="002A3594">
      <w:pPr>
        <w:rPr>
          <w:rFonts w:ascii="Arial" w:hAnsi="Arial" w:cs="Arial"/>
          <w:sz w:val="24"/>
          <w:szCs w:val="24"/>
        </w:rPr>
      </w:pPr>
    </w:p>
    <w:p w:rsidR="009D6A83" w:rsidRDefault="009D6A83" w:rsidP="002A3594">
      <w:pPr>
        <w:rPr>
          <w:rFonts w:ascii="Arial" w:hAnsi="Arial" w:cs="Arial"/>
          <w:b/>
          <w:sz w:val="24"/>
          <w:szCs w:val="24"/>
        </w:rPr>
      </w:pPr>
      <w:r>
        <w:rPr>
          <w:rFonts w:ascii="Arial" w:hAnsi="Arial" w:cs="Arial"/>
          <w:b/>
          <w:sz w:val="24"/>
          <w:szCs w:val="24"/>
        </w:rPr>
        <w:br w:type="page"/>
      </w:r>
    </w:p>
    <w:p w:rsidR="009D6A83" w:rsidRDefault="009A65A6" w:rsidP="002A3594">
      <w:pPr>
        <w:spacing w:line="360" w:lineRule="auto"/>
        <w:ind w:right="-93"/>
        <w:jc w:val="both"/>
        <w:rPr>
          <w:rFonts w:ascii="Arial" w:hAnsi="Arial" w:cs="Arial"/>
          <w:b/>
          <w:sz w:val="24"/>
          <w:szCs w:val="24"/>
        </w:rPr>
      </w:pPr>
      <w:r>
        <w:rPr>
          <w:rFonts w:ascii="Arial" w:hAnsi="Arial" w:cs="Arial"/>
          <w:b/>
          <w:sz w:val="24"/>
          <w:szCs w:val="24"/>
        </w:rPr>
        <w:lastRenderedPageBreak/>
        <w:t>Datos del OGM</w:t>
      </w:r>
    </w:p>
    <w:p w:rsidR="009A65A6" w:rsidRDefault="009A65A6" w:rsidP="002A3594">
      <w:pPr>
        <w:spacing w:line="360" w:lineRule="auto"/>
        <w:ind w:right="-93"/>
        <w:jc w:val="both"/>
        <w:rPr>
          <w:rFonts w:ascii="Arial" w:hAnsi="Arial" w:cs="Arial"/>
          <w:b/>
          <w:sz w:val="24"/>
          <w:szCs w:val="24"/>
        </w:rPr>
      </w:pPr>
      <w:r>
        <w:rPr>
          <w:rFonts w:ascii="Arial" w:hAnsi="Arial" w:cs="Arial"/>
          <w:b/>
          <w:sz w:val="24"/>
          <w:szCs w:val="24"/>
        </w:rPr>
        <w:t xml:space="preserve">Organismo: </w:t>
      </w:r>
      <w:r w:rsidRPr="009A65A6">
        <w:rPr>
          <w:rFonts w:ascii="Arial" w:hAnsi="Arial" w:cs="Arial"/>
          <w:i/>
          <w:sz w:val="24"/>
          <w:szCs w:val="24"/>
        </w:rPr>
        <w:t>Citrus aurantifolia</w:t>
      </w:r>
      <w:r w:rsidR="00351A65">
        <w:rPr>
          <w:rFonts w:ascii="Arial" w:hAnsi="Arial" w:cs="Arial"/>
          <w:b/>
          <w:sz w:val="24"/>
          <w:szCs w:val="24"/>
        </w:rPr>
        <w:t>.</w:t>
      </w:r>
    </w:p>
    <w:p w:rsidR="009A65A6" w:rsidRDefault="009A65A6" w:rsidP="002A3594">
      <w:pPr>
        <w:spacing w:line="360" w:lineRule="auto"/>
        <w:ind w:right="-93"/>
        <w:jc w:val="both"/>
        <w:rPr>
          <w:rFonts w:ascii="Arial" w:hAnsi="Arial" w:cs="Arial"/>
          <w:sz w:val="24"/>
          <w:szCs w:val="24"/>
        </w:rPr>
      </w:pPr>
      <w:r>
        <w:rPr>
          <w:rFonts w:ascii="Arial" w:hAnsi="Arial" w:cs="Arial"/>
          <w:b/>
          <w:sz w:val="24"/>
          <w:szCs w:val="24"/>
        </w:rPr>
        <w:t xml:space="preserve">Nombre Común: </w:t>
      </w:r>
      <w:r w:rsidRPr="009A65A6">
        <w:rPr>
          <w:rFonts w:ascii="Arial" w:hAnsi="Arial" w:cs="Arial"/>
          <w:sz w:val="24"/>
          <w:szCs w:val="24"/>
        </w:rPr>
        <w:t>Limón mexicano</w:t>
      </w:r>
      <w:r w:rsidR="00351A65">
        <w:rPr>
          <w:rFonts w:ascii="Arial" w:hAnsi="Arial" w:cs="Arial"/>
          <w:sz w:val="24"/>
          <w:szCs w:val="24"/>
        </w:rPr>
        <w:t>.</w:t>
      </w:r>
    </w:p>
    <w:p w:rsidR="009A65A6" w:rsidRDefault="009A65A6" w:rsidP="002A3594">
      <w:pPr>
        <w:spacing w:line="360" w:lineRule="auto"/>
        <w:ind w:right="-93"/>
        <w:jc w:val="both"/>
        <w:rPr>
          <w:rFonts w:ascii="Arial" w:hAnsi="Arial" w:cs="Arial"/>
          <w:sz w:val="24"/>
          <w:szCs w:val="24"/>
        </w:rPr>
      </w:pPr>
      <w:r w:rsidRPr="009A65A6">
        <w:rPr>
          <w:rFonts w:ascii="Arial" w:hAnsi="Arial" w:cs="Arial"/>
          <w:b/>
          <w:sz w:val="24"/>
          <w:szCs w:val="24"/>
        </w:rPr>
        <w:t>Evento:</w:t>
      </w:r>
      <w:r>
        <w:rPr>
          <w:rFonts w:ascii="Arial" w:hAnsi="Arial" w:cs="Arial"/>
          <w:sz w:val="24"/>
          <w:szCs w:val="24"/>
        </w:rPr>
        <w:t xml:space="preserve"> Resistencia a HLB</w:t>
      </w:r>
      <w:r w:rsidR="00351A65">
        <w:rPr>
          <w:rFonts w:ascii="Arial" w:hAnsi="Arial" w:cs="Arial"/>
          <w:sz w:val="24"/>
          <w:szCs w:val="24"/>
        </w:rPr>
        <w:t>.</w:t>
      </w:r>
    </w:p>
    <w:p w:rsidR="009A65A6" w:rsidRDefault="009A65A6" w:rsidP="002A3594">
      <w:pPr>
        <w:spacing w:line="360" w:lineRule="auto"/>
        <w:ind w:right="-93"/>
        <w:jc w:val="both"/>
        <w:rPr>
          <w:rFonts w:ascii="Arial" w:hAnsi="Arial" w:cs="Arial"/>
          <w:sz w:val="24"/>
          <w:szCs w:val="24"/>
        </w:rPr>
      </w:pPr>
      <w:r w:rsidRPr="009A65A6">
        <w:rPr>
          <w:rFonts w:ascii="Arial" w:hAnsi="Arial" w:cs="Arial"/>
          <w:b/>
          <w:sz w:val="24"/>
          <w:szCs w:val="24"/>
        </w:rPr>
        <w:t>Origen de las plantas:</w:t>
      </w:r>
      <w:r>
        <w:rPr>
          <w:rFonts w:ascii="Arial" w:hAnsi="Arial" w:cs="Arial"/>
          <w:sz w:val="24"/>
          <w:szCs w:val="24"/>
        </w:rPr>
        <w:t xml:space="preserve"> CINVESTAV Ciudad de México</w:t>
      </w:r>
      <w:r w:rsidR="00351A65">
        <w:rPr>
          <w:rFonts w:ascii="Arial" w:hAnsi="Arial" w:cs="Arial"/>
          <w:sz w:val="24"/>
          <w:szCs w:val="24"/>
        </w:rPr>
        <w:t>.</w:t>
      </w:r>
    </w:p>
    <w:p w:rsidR="009A65A6" w:rsidRDefault="009A65A6" w:rsidP="002A3594">
      <w:pPr>
        <w:spacing w:line="360" w:lineRule="auto"/>
        <w:ind w:right="-93"/>
        <w:jc w:val="both"/>
        <w:rPr>
          <w:rFonts w:ascii="Arial" w:hAnsi="Arial" w:cs="Arial"/>
          <w:sz w:val="24"/>
          <w:szCs w:val="24"/>
        </w:rPr>
      </w:pPr>
      <w:r w:rsidRPr="009A65A6">
        <w:rPr>
          <w:rFonts w:ascii="Arial" w:hAnsi="Arial" w:cs="Arial"/>
          <w:b/>
          <w:sz w:val="24"/>
          <w:szCs w:val="24"/>
        </w:rPr>
        <w:t>Sitio de Liberación propuesto:</w:t>
      </w:r>
      <w:r>
        <w:rPr>
          <w:rFonts w:ascii="Arial" w:hAnsi="Arial" w:cs="Arial"/>
          <w:sz w:val="24"/>
          <w:szCs w:val="24"/>
        </w:rPr>
        <w:t xml:space="preserve"> Tecomán, Colima</w:t>
      </w:r>
    </w:p>
    <w:p w:rsidR="009A65A6" w:rsidRDefault="009A65A6" w:rsidP="002A3594">
      <w:pPr>
        <w:spacing w:line="360" w:lineRule="auto"/>
        <w:ind w:right="-93"/>
        <w:jc w:val="both"/>
        <w:rPr>
          <w:rFonts w:ascii="Arial" w:hAnsi="Arial" w:cs="Arial"/>
          <w:sz w:val="24"/>
          <w:szCs w:val="24"/>
        </w:rPr>
      </w:pPr>
      <w:r w:rsidRPr="009A65A6">
        <w:rPr>
          <w:rFonts w:ascii="Arial" w:hAnsi="Arial" w:cs="Arial"/>
          <w:b/>
          <w:sz w:val="24"/>
          <w:szCs w:val="24"/>
        </w:rPr>
        <w:t>Número de Hectáreas solicitadas:</w:t>
      </w:r>
      <w:r>
        <w:rPr>
          <w:rFonts w:ascii="Arial" w:hAnsi="Arial" w:cs="Arial"/>
          <w:sz w:val="24"/>
          <w:szCs w:val="24"/>
        </w:rPr>
        <w:t xml:space="preserve"> Una</w:t>
      </w:r>
      <w:r w:rsidR="00351A65">
        <w:rPr>
          <w:rFonts w:ascii="Arial" w:hAnsi="Arial" w:cs="Arial"/>
          <w:sz w:val="24"/>
          <w:szCs w:val="24"/>
        </w:rPr>
        <w:t>.</w:t>
      </w:r>
    </w:p>
    <w:p w:rsidR="009A65A6" w:rsidRDefault="009A65A6" w:rsidP="002A3594">
      <w:pPr>
        <w:spacing w:line="360" w:lineRule="auto"/>
        <w:ind w:right="-93"/>
        <w:jc w:val="both"/>
        <w:rPr>
          <w:rFonts w:ascii="Arial" w:hAnsi="Arial" w:cs="Arial"/>
          <w:sz w:val="24"/>
          <w:szCs w:val="24"/>
        </w:rPr>
      </w:pPr>
      <w:r w:rsidRPr="009A65A6">
        <w:rPr>
          <w:rFonts w:ascii="Arial" w:hAnsi="Arial" w:cs="Arial"/>
          <w:b/>
          <w:sz w:val="24"/>
          <w:szCs w:val="24"/>
        </w:rPr>
        <w:t>Cantidad de semilla a importar:</w:t>
      </w:r>
      <w:r>
        <w:rPr>
          <w:rFonts w:ascii="Arial" w:hAnsi="Arial" w:cs="Arial"/>
          <w:sz w:val="24"/>
          <w:szCs w:val="24"/>
        </w:rPr>
        <w:t xml:space="preserve"> </w:t>
      </w:r>
      <w:r w:rsidR="00351A65">
        <w:rPr>
          <w:rFonts w:ascii="Arial" w:hAnsi="Arial" w:cs="Arial"/>
          <w:sz w:val="24"/>
          <w:szCs w:val="24"/>
        </w:rPr>
        <w:t>Las plantas se generaron en México.</w:t>
      </w:r>
      <w:r>
        <w:rPr>
          <w:rFonts w:ascii="Arial" w:hAnsi="Arial" w:cs="Arial"/>
          <w:sz w:val="24"/>
          <w:szCs w:val="24"/>
        </w:rPr>
        <w:t xml:space="preserve"> </w:t>
      </w:r>
    </w:p>
    <w:p w:rsidR="009A65A6" w:rsidRDefault="009A65A6" w:rsidP="002A3594">
      <w:pPr>
        <w:spacing w:line="360" w:lineRule="auto"/>
        <w:ind w:right="-93"/>
        <w:jc w:val="both"/>
        <w:rPr>
          <w:rFonts w:ascii="Arial" w:hAnsi="Arial" w:cs="Arial"/>
          <w:sz w:val="24"/>
          <w:szCs w:val="24"/>
        </w:rPr>
      </w:pPr>
      <w:r w:rsidRPr="009A65A6">
        <w:rPr>
          <w:rFonts w:ascii="Arial" w:hAnsi="Arial" w:cs="Arial"/>
          <w:b/>
          <w:sz w:val="24"/>
          <w:szCs w:val="24"/>
        </w:rPr>
        <w:t>Fenotipo adquirido:</w:t>
      </w:r>
      <w:r>
        <w:rPr>
          <w:rFonts w:ascii="Arial" w:hAnsi="Arial" w:cs="Arial"/>
          <w:sz w:val="24"/>
          <w:szCs w:val="24"/>
        </w:rPr>
        <w:t xml:space="preserve"> Resistencia a HLB</w:t>
      </w:r>
      <w:r w:rsidR="00351A65">
        <w:rPr>
          <w:rFonts w:ascii="Arial" w:hAnsi="Arial" w:cs="Arial"/>
          <w:sz w:val="24"/>
          <w:szCs w:val="24"/>
        </w:rPr>
        <w:t>.</w:t>
      </w:r>
    </w:p>
    <w:p w:rsidR="009A65A6" w:rsidRDefault="009A65A6" w:rsidP="002A3594">
      <w:pPr>
        <w:spacing w:line="360" w:lineRule="auto"/>
        <w:ind w:right="-93"/>
        <w:jc w:val="both"/>
        <w:rPr>
          <w:rFonts w:ascii="Arial" w:hAnsi="Arial" w:cs="Arial"/>
          <w:sz w:val="24"/>
          <w:szCs w:val="24"/>
        </w:rPr>
      </w:pPr>
      <w:r w:rsidRPr="009A65A6">
        <w:rPr>
          <w:rFonts w:ascii="Arial" w:hAnsi="Arial" w:cs="Arial"/>
          <w:b/>
          <w:sz w:val="24"/>
          <w:szCs w:val="24"/>
        </w:rPr>
        <w:t>Nombre comercial:</w:t>
      </w:r>
      <w:r>
        <w:rPr>
          <w:rFonts w:ascii="Arial" w:hAnsi="Arial" w:cs="Arial"/>
          <w:sz w:val="24"/>
          <w:szCs w:val="24"/>
        </w:rPr>
        <w:t xml:space="preserve"> No tiene</w:t>
      </w:r>
      <w:r w:rsidR="00351A65">
        <w:rPr>
          <w:rFonts w:ascii="Arial" w:hAnsi="Arial" w:cs="Arial"/>
          <w:sz w:val="24"/>
          <w:szCs w:val="24"/>
        </w:rPr>
        <w:t>.</w:t>
      </w:r>
    </w:p>
    <w:p w:rsidR="00DE42A6" w:rsidRPr="00026D4C" w:rsidRDefault="00DE42A6" w:rsidP="002A3594">
      <w:pPr>
        <w:spacing w:line="360" w:lineRule="auto"/>
        <w:ind w:right="-93"/>
        <w:jc w:val="both"/>
        <w:rPr>
          <w:rFonts w:ascii="Arial" w:hAnsi="Arial" w:cs="Arial"/>
          <w:b/>
          <w:sz w:val="24"/>
          <w:szCs w:val="24"/>
        </w:rPr>
      </w:pPr>
      <w:r w:rsidRPr="00026D4C">
        <w:rPr>
          <w:rFonts w:ascii="Arial" w:hAnsi="Arial" w:cs="Arial"/>
          <w:b/>
          <w:sz w:val="24"/>
          <w:szCs w:val="24"/>
        </w:rPr>
        <w:t>REQUISITO</w:t>
      </w:r>
      <w:r w:rsidR="002764DE" w:rsidRPr="00026D4C">
        <w:rPr>
          <w:rFonts w:ascii="Arial" w:hAnsi="Arial" w:cs="Arial"/>
          <w:b/>
          <w:sz w:val="24"/>
          <w:szCs w:val="24"/>
        </w:rPr>
        <w:t>S</w:t>
      </w:r>
    </w:p>
    <w:p w:rsidR="00DE42A6" w:rsidRPr="00026D4C" w:rsidRDefault="009A65A6" w:rsidP="002A3594">
      <w:pPr>
        <w:spacing w:line="360" w:lineRule="auto"/>
        <w:ind w:right="-93"/>
        <w:jc w:val="both"/>
        <w:rPr>
          <w:rFonts w:ascii="Arial" w:hAnsi="Arial" w:cs="Arial"/>
          <w:b/>
          <w:sz w:val="24"/>
          <w:szCs w:val="24"/>
        </w:rPr>
      </w:pPr>
      <w:r w:rsidRPr="00026D4C">
        <w:rPr>
          <w:rFonts w:ascii="Arial" w:hAnsi="Arial" w:cs="Arial"/>
          <w:b/>
          <w:sz w:val="24"/>
          <w:szCs w:val="24"/>
        </w:rPr>
        <w:t>I. Caracterización Molecular</w:t>
      </w:r>
    </w:p>
    <w:p w:rsidR="003D2B9A" w:rsidRDefault="002C159C" w:rsidP="002A3594">
      <w:pPr>
        <w:spacing w:line="360" w:lineRule="auto"/>
        <w:ind w:right="-93"/>
        <w:jc w:val="both"/>
        <w:rPr>
          <w:rFonts w:ascii="Arial" w:hAnsi="Arial" w:cs="Arial"/>
          <w:sz w:val="24"/>
          <w:szCs w:val="24"/>
        </w:rPr>
      </w:pPr>
      <w:r w:rsidRPr="00026D4C">
        <w:rPr>
          <w:rFonts w:ascii="Arial" w:hAnsi="Arial" w:cs="Arial"/>
          <w:sz w:val="24"/>
          <w:szCs w:val="24"/>
        </w:rPr>
        <w:t xml:space="preserve">Los genes que se emplean en el presente desarrollo de la biotecnología moderna son la lisozima y defensina humanas. Ambas proteínas con propiedades antimicrobianas pertenecen al </w:t>
      </w:r>
      <w:r w:rsidR="00177252" w:rsidRPr="00026D4C">
        <w:rPr>
          <w:rFonts w:ascii="Arial" w:hAnsi="Arial" w:cs="Arial"/>
          <w:sz w:val="24"/>
          <w:szCs w:val="24"/>
        </w:rPr>
        <w:t>sistema inmune innato en humanos</w:t>
      </w:r>
      <w:r w:rsidRPr="00026D4C">
        <w:rPr>
          <w:rFonts w:ascii="Arial" w:hAnsi="Arial" w:cs="Arial"/>
          <w:sz w:val="24"/>
          <w:szCs w:val="24"/>
        </w:rPr>
        <w:t>. Este sistema es la primera barrera inmunológica de nuestra especie. Ambas proteínas se sintetizan de manera constante en nuestro epitelio y se secreta en los fluidos corporales tales como saliva, sudor, lágrimas, mucosidades y está presente en</w:t>
      </w:r>
      <w:r w:rsidR="00C950DC">
        <w:rPr>
          <w:rFonts w:ascii="Arial" w:hAnsi="Arial" w:cs="Arial"/>
          <w:sz w:val="24"/>
          <w:szCs w:val="24"/>
        </w:rPr>
        <w:t xml:space="preserve"> el aparato digestivo (Alberts et al., 2002</w:t>
      </w:r>
      <w:r w:rsidR="003D2B9A" w:rsidRPr="00026D4C">
        <w:rPr>
          <w:rFonts w:ascii="Arial" w:hAnsi="Arial" w:cs="Arial"/>
          <w:sz w:val="24"/>
          <w:szCs w:val="24"/>
        </w:rPr>
        <w:t>).</w:t>
      </w:r>
    </w:p>
    <w:p w:rsidR="009A65A6" w:rsidRPr="0094501C" w:rsidRDefault="0094501C" w:rsidP="002A3594">
      <w:pPr>
        <w:spacing w:line="360" w:lineRule="auto"/>
        <w:ind w:right="-93"/>
        <w:jc w:val="both"/>
        <w:rPr>
          <w:rFonts w:ascii="Arial" w:hAnsi="Arial" w:cs="Arial"/>
          <w:b/>
          <w:sz w:val="24"/>
          <w:szCs w:val="24"/>
        </w:rPr>
      </w:pPr>
      <w:r w:rsidRPr="0094501C">
        <w:rPr>
          <w:rFonts w:ascii="Arial" w:hAnsi="Arial" w:cs="Arial"/>
          <w:b/>
          <w:sz w:val="24"/>
          <w:szCs w:val="24"/>
        </w:rPr>
        <w:t xml:space="preserve">I. a Identificador </w:t>
      </w:r>
      <w:r w:rsidR="009D2C0E">
        <w:rPr>
          <w:rFonts w:ascii="Arial" w:hAnsi="Arial" w:cs="Arial"/>
          <w:b/>
          <w:sz w:val="24"/>
          <w:szCs w:val="24"/>
        </w:rPr>
        <w:t>Ú</w:t>
      </w:r>
      <w:r w:rsidRPr="0094501C">
        <w:rPr>
          <w:rFonts w:ascii="Arial" w:hAnsi="Arial" w:cs="Arial"/>
          <w:b/>
          <w:sz w:val="24"/>
          <w:szCs w:val="24"/>
        </w:rPr>
        <w:t>nico del Evento de Transformación.</w:t>
      </w:r>
    </w:p>
    <w:p w:rsidR="0094501C" w:rsidRDefault="0094501C" w:rsidP="002A3594">
      <w:pPr>
        <w:spacing w:line="360" w:lineRule="auto"/>
        <w:ind w:right="-93"/>
        <w:jc w:val="both"/>
        <w:rPr>
          <w:rFonts w:ascii="Arial" w:hAnsi="Arial" w:cs="Arial"/>
          <w:sz w:val="24"/>
          <w:szCs w:val="24"/>
        </w:rPr>
      </w:pPr>
      <w:r>
        <w:rPr>
          <w:rFonts w:ascii="Arial" w:hAnsi="Arial" w:cs="Arial"/>
          <w:sz w:val="24"/>
          <w:szCs w:val="24"/>
        </w:rPr>
        <w:t>No se ha realizado el registro de la variedad ante las autoridades competentes.</w:t>
      </w:r>
    </w:p>
    <w:p w:rsidR="0094501C" w:rsidRPr="0094501C" w:rsidRDefault="0094501C" w:rsidP="002A3594">
      <w:pPr>
        <w:spacing w:line="360" w:lineRule="auto"/>
        <w:ind w:right="-93"/>
        <w:jc w:val="both"/>
        <w:rPr>
          <w:rFonts w:ascii="Arial" w:hAnsi="Arial" w:cs="Arial"/>
          <w:b/>
          <w:sz w:val="24"/>
          <w:szCs w:val="24"/>
        </w:rPr>
      </w:pPr>
      <w:r>
        <w:rPr>
          <w:rFonts w:ascii="Arial" w:hAnsi="Arial" w:cs="Arial"/>
          <w:b/>
          <w:sz w:val="24"/>
          <w:szCs w:val="24"/>
        </w:rPr>
        <w:t xml:space="preserve">1. b </w:t>
      </w:r>
      <w:r w:rsidRPr="0094501C">
        <w:rPr>
          <w:rFonts w:ascii="Arial" w:hAnsi="Arial" w:cs="Arial"/>
          <w:b/>
          <w:sz w:val="24"/>
          <w:szCs w:val="24"/>
        </w:rPr>
        <w:t>Especies relacionadas con el OGM y distribución de éstas en México</w:t>
      </w:r>
    </w:p>
    <w:p w:rsidR="0094501C" w:rsidRPr="00026D4C" w:rsidRDefault="0094501C" w:rsidP="002A3594">
      <w:pPr>
        <w:spacing w:line="360" w:lineRule="auto"/>
        <w:ind w:right="-93"/>
        <w:jc w:val="both"/>
        <w:rPr>
          <w:rFonts w:ascii="Arial" w:hAnsi="Arial" w:cs="Arial"/>
          <w:sz w:val="24"/>
          <w:szCs w:val="24"/>
        </w:rPr>
      </w:pPr>
      <w:r w:rsidRPr="00026D4C">
        <w:rPr>
          <w:rFonts w:ascii="Arial" w:hAnsi="Arial" w:cs="Arial"/>
          <w:sz w:val="24"/>
          <w:szCs w:val="24"/>
        </w:rPr>
        <w:lastRenderedPageBreak/>
        <w:t xml:space="preserve">Debido a que los cítricos son originarios de Asia, nuestro país no cuenta con especies nativas. Sin embargo, en nuestro país se siembran limón mexicano, limón persa, naranja dulce, mandarina, toronja, lima y naranja agria. </w:t>
      </w:r>
    </w:p>
    <w:p w:rsidR="0094501C" w:rsidRPr="000163F7" w:rsidRDefault="0094501C" w:rsidP="002A3594">
      <w:pPr>
        <w:spacing w:line="360" w:lineRule="auto"/>
        <w:ind w:right="-93"/>
        <w:jc w:val="both"/>
        <w:rPr>
          <w:rFonts w:ascii="Arial" w:hAnsi="Arial" w:cs="Arial"/>
          <w:b/>
          <w:sz w:val="24"/>
          <w:szCs w:val="24"/>
        </w:rPr>
      </w:pPr>
      <w:r>
        <w:rPr>
          <w:rFonts w:ascii="Arial" w:hAnsi="Arial" w:cs="Arial"/>
          <w:b/>
          <w:sz w:val="24"/>
          <w:szCs w:val="24"/>
        </w:rPr>
        <w:t xml:space="preserve">1. c </w:t>
      </w:r>
      <w:r w:rsidRPr="000163F7">
        <w:rPr>
          <w:rFonts w:ascii="Arial" w:hAnsi="Arial" w:cs="Arial"/>
          <w:b/>
          <w:sz w:val="24"/>
          <w:szCs w:val="24"/>
        </w:rPr>
        <w:t>Existencia de especies sexualmente compatibles</w:t>
      </w:r>
    </w:p>
    <w:p w:rsidR="0094501C" w:rsidRPr="002D36CE" w:rsidRDefault="0094501C" w:rsidP="002A3594">
      <w:pPr>
        <w:spacing w:line="360" w:lineRule="auto"/>
        <w:ind w:right="-93"/>
        <w:jc w:val="both"/>
        <w:rPr>
          <w:rFonts w:ascii="Arial" w:hAnsi="Arial" w:cs="Arial"/>
          <w:sz w:val="24"/>
          <w:szCs w:val="24"/>
        </w:rPr>
      </w:pPr>
      <w:r w:rsidRPr="002D36CE">
        <w:rPr>
          <w:rFonts w:ascii="Arial" w:hAnsi="Arial" w:cs="Arial"/>
          <w:sz w:val="24"/>
          <w:szCs w:val="24"/>
        </w:rPr>
        <w:t>Los cítricos son plantas autogámicas, de reproducción sexual, con flores dioicas que abren cuando el carpelo se ha fecundado con el polen producido por la misma flor. El limón persa es una excepción en esta estrategia reproductiva, ya que su propagación es vegetativa. A pesar de producir flores, los frutos no tienen semillas, por lo que su propagación es vegetativa.</w:t>
      </w:r>
    </w:p>
    <w:p w:rsidR="0094501C" w:rsidRPr="00026D4C" w:rsidRDefault="0094501C" w:rsidP="002A3594">
      <w:pPr>
        <w:spacing w:line="360" w:lineRule="auto"/>
        <w:ind w:right="-93"/>
        <w:jc w:val="both"/>
        <w:rPr>
          <w:rFonts w:ascii="Arial" w:hAnsi="Arial" w:cs="Arial"/>
          <w:sz w:val="24"/>
          <w:szCs w:val="24"/>
        </w:rPr>
      </w:pPr>
      <w:r w:rsidRPr="00026D4C">
        <w:rPr>
          <w:rFonts w:ascii="Arial" w:hAnsi="Arial" w:cs="Arial"/>
          <w:sz w:val="24"/>
          <w:szCs w:val="24"/>
        </w:rPr>
        <w:t>El limón mexicano (</w:t>
      </w:r>
      <w:r w:rsidRPr="00026D4C">
        <w:rPr>
          <w:rFonts w:ascii="Arial" w:hAnsi="Arial" w:cs="Arial"/>
          <w:i/>
          <w:sz w:val="24"/>
          <w:szCs w:val="24"/>
        </w:rPr>
        <w:t>Citrus aurantifolia</w:t>
      </w:r>
      <w:r w:rsidRPr="00026D4C">
        <w:rPr>
          <w:rFonts w:ascii="Arial" w:hAnsi="Arial" w:cs="Arial"/>
          <w:sz w:val="24"/>
          <w:szCs w:val="24"/>
        </w:rPr>
        <w:t>) también conocido como limón agrio, es un árbol vigoroso, de porte erguido, con brotes color púrpura que después cambian a verde, el fruto suele ser pequeño y redondo, con diámetro promedio de 4 a 6 cm. El fruto es de corteza suave, en estado inmaduro es color verde, mientras que su coloración se torna amarillenta en su madurez, la característica principal del fruto es su acidez. El árbol de limón es un arbusto con una altura que oscila entre 2 y 4 metros de altura, con ramas delgadas (SIAP, 2011).</w:t>
      </w:r>
    </w:p>
    <w:p w:rsidR="0094501C" w:rsidRPr="00026D4C" w:rsidRDefault="0094501C" w:rsidP="002A3594">
      <w:pPr>
        <w:spacing w:line="360" w:lineRule="auto"/>
        <w:ind w:right="-93"/>
        <w:jc w:val="both"/>
        <w:rPr>
          <w:rFonts w:ascii="Arial" w:hAnsi="Arial" w:cs="Arial"/>
          <w:sz w:val="24"/>
          <w:szCs w:val="24"/>
        </w:rPr>
      </w:pPr>
    </w:p>
    <w:p w:rsidR="00D35796" w:rsidRPr="000163F7" w:rsidRDefault="009D2C0E" w:rsidP="002A3594">
      <w:pPr>
        <w:spacing w:line="360" w:lineRule="auto"/>
        <w:ind w:right="-93"/>
        <w:jc w:val="both"/>
        <w:rPr>
          <w:rFonts w:ascii="Arial" w:hAnsi="Arial" w:cs="Arial"/>
          <w:b/>
          <w:sz w:val="24"/>
          <w:szCs w:val="24"/>
        </w:rPr>
      </w:pPr>
      <w:r>
        <w:rPr>
          <w:rFonts w:ascii="Arial" w:hAnsi="Arial" w:cs="Arial"/>
          <w:b/>
          <w:sz w:val="24"/>
          <w:szCs w:val="24"/>
        </w:rPr>
        <w:t xml:space="preserve">1.d Descripción de los </w:t>
      </w:r>
      <w:r w:rsidR="00D35796" w:rsidRPr="000163F7">
        <w:rPr>
          <w:rFonts w:ascii="Arial" w:hAnsi="Arial" w:cs="Arial"/>
          <w:b/>
          <w:sz w:val="24"/>
          <w:szCs w:val="24"/>
        </w:rPr>
        <w:t xml:space="preserve">Hábitats </w:t>
      </w:r>
      <w:r>
        <w:rPr>
          <w:rFonts w:ascii="Arial" w:hAnsi="Arial" w:cs="Arial"/>
          <w:b/>
          <w:sz w:val="24"/>
          <w:szCs w:val="24"/>
        </w:rPr>
        <w:t xml:space="preserve">donde el OGM puede persistir </w:t>
      </w:r>
    </w:p>
    <w:p w:rsidR="00026D4C" w:rsidRPr="00026D4C" w:rsidRDefault="00026D4C" w:rsidP="002A3594">
      <w:pPr>
        <w:spacing w:line="360" w:lineRule="auto"/>
        <w:ind w:right="-93"/>
        <w:jc w:val="both"/>
        <w:rPr>
          <w:rFonts w:ascii="Arial" w:hAnsi="Arial" w:cs="Arial"/>
          <w:sz w:val="24"/>
          <w:szCs w:val="24"/>
        </w:rPr>
      </w:pPr>
      <w:r w:rsidRPr="00026D4C">
        <w:rPr>
          <w:rFonts w:ascii="Arial" w:hAnsi="Arial" w:cs="Arial"/>
          <w:sz w:val="24"/>
          <w:szCs w:val="24"/>
        </w:rPr>
        <w:t>Los cítricos son cultivos perennes, que se cultivan en zonas citrícolas y también en traspatios. El Servicio de Información Agrícola y Pecuaria (SIAP), reporta que en territorio mexicano se cultivan las siguientes variedades de limón: limón mexicano, limón persa y limón italiano. La producción en toneladas y el valor de producción en miles de pesos, de las diferentes variedades para el año 2011 se detalla en la siguiente tabla:</w:t>
      </w:r>
    </w:p>
    <w:p w:rsidR="00026D4C" w:rsidRPr="00026D4C" w:rsidRDefault="00026D4C" w:rsidP="002A3594">
      <w:pPr>
        <w:spacing w:line="360" w:lineRule="auto"/>
        <w:ind w:right="-93"/>
        <w:jc w:val="both"/>
        <w:rPr>
          <w:rFonts w:ascii="Arial" w:hAnsi="Arial" w:cs="Arial"/>
          <w:sz w:val="24"/>
          <w:szCs w:val="24"/>
        </w:rPr>
      </w:pPr>
      <w:r w:rsidRPr="00026D4C">
        <w:rPr>
          <w:rFonts w:ascii="Arial" w:hAnsi="Arial" w:cs="Arial"/>
          <w:noProof/>
          <w:sz w:val="24"/>
          <w:szCs w:val="24"/>
          <w:lang w:eastAsia="es-MX"/>
        </w:rPr>
        <w:lastRenderedPageBreak/>
        <w:drawing>
          <wp:inline distT="0" distB="0" distL="0" distR="0" wp14:anchorId="5E6381B4" wp14:editId="2A73C1EA">
            <wp:extent cx="5325824" cy="219456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743" t="16009" r="6338" b="45940"/>
                    <a:stretch/>
                  </pic:blipFill>
                  <pic:spPr bwMode="auto">
                    <a:xfrm>
                      <a:off x="0" y="0"/>
                      <a:ext cx="5343415" cy="2201808"/>
                    </a:xfrm>
                    <a:prstGeom prst="rect">
                      <a:avLst/>
                    </a:prstGeom>
                    <a:ln>
                      <a:noFill/>
                    </a:ln>
                    <a:extLst>
                      <a:ext uri="{53640926-AAD7-44D8-BBD7-CCE9431645EC}">
                        <a14:shadowObscured xmlns:a14="http://schemas.microsoft.com/office/drawing/2010/main"/>
                      </a:ext>
                    </a:extLst>
                  </pic:spPr>
                </pic:pic>
              </a:graphicData>
            </a:graphic>
          </wp:inline>
        </w:drawing>
      </w:r>
    </w:p>
    <w:p w:rsidR="00026D4C" w:rsidRDefault="00026D4C" w:rsidP="002A3594">
      <w:pPr>
        <w:spacing w:line="360" w:lineRule="auto"/>
        <w:ind w:right="-93"/>
        <w:jc w:val="both"/>
        <w:rPr>
          <w:rFonts w:ascii="Arial" w:hAnsi="Arial" w:cs="Arial"/>
          <w:sz w:val="24"/>
          <w:szCs w:val="24"/>
        </w:rPr>
      </w:pPr>
      <w:r w:rsidRPr="00026D4C">
        <w:rPr>
          <w:rFonts w:ascii="Arial" w:hAnsi="Arial" w:cs="Arial"/>
          <w:sz w:val="24"/>
          <w:szCs w:val="24"/>
        </w:rPr>
        <w:t>La producción de limón en México está dividida por zona geográfica: el limón mexicano predominantemente se cultiva en las costas del Pacífico, mientras que el limón persa se cultiva principalmente en la zona costera del Golfo de México. De los 23 estados productores, resaltan Colima, Michoacán, Veracruz, Oaxaca, Yucatán y Tamaulipas como los seis principales productores de limón en el año 2011; en conjunto, los seis estados más productivos de limón, abarcan una superficie de 153, 442.62 hectáreas, con una producción anual de 1.10 millones de toneladas (SIAP, 2011).</w:t>
      </w:r>
    </w:p>
    <w:p w:rsidR="000163F7" w:rsidRPr="00026D4C" w:rsidRDefault="000163F7" w:rsidP="002A3594">
      <w:pPr>
        <w:spacing w:line="360" w:lineRule="auto"/>
        <w:ind w:right="-93"/>
        <w:jc w:val="both"/>
        <w:rPr>
          <w:rFonts w:ascii="Arial" w:hAnsi="Arial" w:cs="Arial"/>
          <w:sz w:val="24"/>
          <w:szCs w:val="24"/>
        </w:rPr>
      </w:pPr>
    </w:p>
    <w:p w:rsidR="00026D4C" w:rsidRPr="009D2C0E" w:rsidRDefault="009D2C0E" w:rsidP="002A3594">
      <w:pPr>
        <w:spacing w:line="360" w:lineRule="auto"/>
        <w:ind w:right="-93"/>
        <w:jc w:val="both"/>
        <w:rPr>
          <w:rFonts w:ascii="Arial" w:hAnsi="Arial" w:cs="Arial"/>
          <w:b/>
          <w:sz w:val="24"/>
          <w:szCs w:val="24"/>
        </w:rPr>
      </w:pPr>
      <w:r w:rsidRPr="009D2C0E">
        <w:rPr>
          <w:rFonts w:ascii="Arial" w:hAnsi="Arial" w:cs="Arial"/>
          <w:b/>
          <w:sz w:val="24"/>
          <w:szCs w:val="24"/>
        </w:rPr>
        <w:t xml:space="preserve">1.e </w:t>
      </w:r>
      <w:r w:rsidR="00D35796" w:rsidRPr="009D2C0E">
        <w:rPr>
          <w:rFonts w:ascii="Arial" w:hAnsi="Arial" w:cs="Arial"/>
          <w:b/>
          <w:sz w:val="24"/>
          <w:szCs w:val="24"/>
        </w:rPr>
        <w:t>Descripción taxonómica d</w:t>
      </w:r>
      <w:r w:rsidR="002D36CE" w:rsidRPr="009D2C0E">
        <w:rPr>
          <w:rFonts w:ascii="Arial" w:hAnsi="Arial" w:cs="Arial"/>
          <w:b/>
          <w:sz w:val="24"/>
          <w:szCs w:val="24"/>
        </w:rPr>
        <w:t>el organismo receptor y donador</w:t>
      </w:r>
    </w:p>
    <w:p w:rsidR="00026D4C" w:rsidRDefault="00026D4C" w:rsidP="002A3594">
      <w:pPr>
        <w:spacing w:line="360" w:lineRule="auto"/>
        <w:ind w:right="-93"/>
        <w:jc w:val="both"/>
        <w:rPr>
          <w:rFonts w:ascii="Arial" w:hAnsi="Arial" w:cs="Arial"/>
          <w:b/>
          <w:sz w:val="24"/>
          <w:szCs w:val="24"/>
        </w:rPr>
      </w:pPr>
      <w:r w:rsidRPr="002D36CE">
        <w:rPr>
          <w:rFonts w:ascii="Arial" w:hAnsi="Arial" w:cs="Arial"/>
          <w:b/>
          <w:sz w:val="24"/>
          <w:szCs w:val="24"/>
        </w:rPr>
        <w:t>Organismo receptor</w:t>
      </w:r>
      <w:r w:rsidR="005770CF" w:rsidRPr="002D36CE">
        <w:rPr>
          <w:rFonts w:ascii="Arial" w:hAnsi="Arial" w:cs="Arial"/>
          <w:b/>
          <w:sz w:val="24"/>
          <w:szCs w:val="24"/>
        </w:rPr>
        <w:t xml:space="preserve">: </w:t>
      </w:r>
    </w:p>
    <w:p w:rsidR="000163F7" w:rsidRDefault="000163F7" w:rsidP="002A3594">
      <w:pPr>
        <w:spacing w:after="0" w:line="360" w:lineRule="auto"/>
        <w:ind w:right="-93"/>
        <w:jc w:val="both"/>
        <w:rPr>
          <w:rFonts w:ascii="Arial" w:hAnsi="Arial" w:cs="Arial"/>
          <w:sz w:val="24"/>
          <w:szCs w:val="24"/>
        </w:rPr>
      </w:pPr>
      <w:r>
        <w:rPr>
          <w:rFonts w:ascii="Arial" w:hAnsi="Arial" w:cs="Arial"/>
          <w:sz w:val="24"/>
          <w:szCs w:val="24"/>
        </w:rPr>
        <w:t>Superreino (Dominio): Eukarya</w:t>
      </w:r>
    </w:p>
    <w:p w:rsidR="000163F7" w:rsidRPr="000163F7" w:rsidRDefault="000163F7" w:rsidP="002A3594">
      <w:pPr>
        <w:spacing w:after="0" w:line="360" w:lineRule="auto"/>
        <w:ind w:right="-93"/>
        <w:jc w:val="both"/>
        <w:rPr>
          <w:rFonts w:ascii="Arial" w:hAnsi="Arial" w:cs="Arial"/>
          <w:sz w:val="24"/>
          <w:szCs w:val="24"/>
        </w:rPr>
      </w:pPr>
      <w:r w:rsidRPr="000163F7">
        <w:rPr>
          <w:rFonts w:ascii="Arial" w:hAnsi="Arial" w:cs="Arial"/>
          <w:sz w:val="24"/>
          <w:szCs w:val="24"/>
        </w:rPr>
        <w:t>Reino: Plantae</w:t>
      </w:r>
    </w:p>
    <w:p w:rsidR="002D36CE" w:rsidRPr="000163F7" w:rsidRDefault="002D36CE" w:rsidP="002A3594">
      <w:pPr>
        <w:spacing w:after="0" w:line="360" w:lineRule="auto"/>
        <w:ind w:right="-93"/>
        <w:jc w:val="both"/>
        <w:rPr>
          <w:rFonts w:ascii="Arial" w:hAnsi="Arial" w:cs="Arial"/>
          <w:sz w:val="24"/>
          <w:szCs w:val="24"/>
        </w:rPr>
      </w:pPr>
      <w:r w:rsidRPr="000163F7">
        <w:rPr>
          <w:rFonts w:ascii="Arial" w:hAnsi="Arial" w:cs="Arial"/>
          <w:sz w:val="24"/>
          <w:szCs w:val="24"/>
        </w:rPr>
        <w:t>Subreino: Eudicotiledóneas</w:t>
      </w:r>
    </w:p>
    <w:p w:rsidR="002D36CE" w:rsidRPr="000163F7" w:rsidRDefault="002D36CE" w:rsidP="002A3594">
      <w:pPr>
        <w:spacing w:after="0" w:line="360" w:lineRule="auto"/>
        <w:ind w:right="-93"/>
        <w:jc w:val="both"/>
        <w:rPr>
          <w:rFonts w:ascii="Arial" w:hAnsi="Arial" w:cs="Arial"/>
          <w:sz w:val="24"/>
          <w:szCs w:val="24"/>
        </w:rPr>
      </w:pPr>
      <w:r w:rsidRPr="000163F7">
        <w:rPr>
          <w:rFonts w:ascii="Arial" w:hAnsi="Arial" w:cs="Arial"/>
          <w:sz w:val="24"/>
          <w:szCs w:val="24"/>
        </w:rPr>
        <w:t>Superclase: Eudicots nucleares</w:t>
      </w:r>
    </w:p>
    <w:p w:rsidR="002D36CE" w:rsidRPr="000163F7" w:rsidRDefault="002D36CE" w:rsidP="002A3594">
      <w:pPr>
        <w:spacing w:after="0" w:line="360" w:lineRule="auto"/>
        <w:ind w:right="-93"/>
        <w:jc w:val="both"/>
        <w:rPr>
          <w:rFonts w:ascii="Arial" w:hAnsi="Arial" w:cs="Arial"/>
          <w:sz w:val="24"/>
          <w:szCs w:val="24"/>
        </w:rPr>
      </w:pPr>
      <w:r w:rsidRPr="000163F7">
        <w:rPr>
          <w:rFonts w:ascii="Arial" w:hAnsi="Arial" w:cs="Arial"/>
          <w:sz w:val="24"/>
          <w:szCs w:val="24"/>
        </w:rPr>
        <w:t>Clase: Eurosidas</w:t>
      </w:r>
    </w:p>
    <w:p w:rsidR="002D36CE" w:rsidRPr="002D36CE" w:rsidRDefault="002D36CE" w:rsidP="002A3594">
      <w:pPr>
        <w:spacing w:after="0" w:line="360" w:lineRule="auto"/>
        <w:ind w:right="-93"/>
        <w:jc w:val="both"/>
        <w:rPr>
          <w:rFonts w:ascii="Arial" w:hAnsi="Arial" w:cs="Arial"/>
          <w:sz w:val="24"/>
          <w:szCs w:val="24"/>
        </w:rPr>
      </w:pPr>
      <w:r w:rsidRPr="002D36CE">
        <w:rPr>
          <w:rFonts w:ascii="Arial" w:hAnsi="Arial" w:cs="Arial"/>
          <w:sz w:val="24"/>
          <w:szCs w:val="24"/>
        </w:rPr>
        <w:t>Subclase: Rosidae</w:t>
      </w:r>
    </w:p>
    <w:p w:rsidR="002D36CE" w:rsidRPr="002D36CE" w:rsidRDefault="002D36CE" w:rsidP="002A3594">
      <w:pPr>
        <w:spacing w:after="0" w:line="360" w:lineRule="auto"/>
        <w:ind w:right="-93"/>
        <w:jc w:val="both"/>
        <w:rPr>
          <w:rFonts w:ascii="Arial" w:hAnsi="Arial" w:cs="Arial"/>
          <w:sz w:val="24"/>
          <w:szCs w:val="24"/>
        </w:rPr>
      </w:pPr>
      <w:r w:rsidRPr="002D36CE">
        <w:rPr>
          <w:rFonts w:ascii="Arial" w:hAnsi="Arial" w:cs="Arial"/>
          <w:sz w:val="24"/>
          <w:szCs w:val="24"/>
        </w:rPr>
        <w:t>Superorden: Rutanae</w:t>
      </w:r>
    </w:p>
    <w:p w:rsidR="002D36CE" w:rsidRPr="002D36CE" w:rsidRDefault="002D36CE" w:rsidP="002A3594">
      <w:pPr>
        <w:spacing w:after="0" w:line="360" w:lineRule="auto"/>
        <w:ind w:right="-93"/>
        <w:jc w:val="both"/>
        <w:rPr>
          <w:rFonts w:ascii="Arial" w:hAnsi="Arial" w:cs="Arial"/>
          <w:sz w:val="24"/>
          <w:szCs w:val="24"/>
        </w:rPr>
      </w:pPr>
      <w:r w:rsidRPr="002D36CE">
        <w:rPr>
          <w:rFonts w:ascii="Arial" w:hAnsi="Arial" w:cs="Arial"/>
          <w:sz w:val="24"/>
          <w:szCs w:val="24"/>
        </w:rPr>
        <w:t>Orden: Rutales</w:t>
      </w:r>
    </w:p>
    <w:p w:rsidR="002D36CE" w:rsidRDefault="002D36CE" w:rsidP="002A3594">
      <w:pPr>
        <w:spacing w:after="0" w:line="360" w:lineRule="auto"/>
        <w:ind w:right="-93"/>
        <w:jc w:val="both"/>
        <w:rPr>
          <w:rFonts w:ascii="Arial" w:hAnsi="Arial" w:cs="Arial"/>
          <w:sz w:val="24"/>
          <w:szCs w:val="24"/>
        </w:rPr>
      </w:pPr>
      <w:r>
        <w:rPr>
          <w:rFonts w:ascii="Arial" w:hAnsi="Arial" w:cs="Arial"/>
          <w:sz w:val="24"/>
          <w:szCs w:val="24"/>
        </w:rPr>
        <w:t>Familia: Rutaceae Juss</w:t>
      </w:r>
    </w:p>
    <w:p w:rsidR="005770CF" w:rsidRPr="005770CF" w:rsidRDefault="005770CF" w:rsidP="002A3594">
      <w:pPr>
        <w:spacing w:after="0" w:line="360" w:lineRule="auto"/>
        <w:ind w:right="-93"/>
        <w:jc w:val="both"/>
        <w:rPr>
          <w:rFonts w:ascii="Arial" w:hAnsi="Arial" w:cs="Arial"/>
          <w:sz w:val="24"/>
          <w:szCs w:val="24"/>
        </w:rPr>
      </w:pPr>
      <w:r w:rsidRPr="005770CF">
        <w:rPr>
          <w:rFonts w:ascii="Arial" w:hAnsi="Arial" w:cs="Arial"/>
          <w:sz w:val="24"/>
          <w:szCs w:val="24"/>
        </w:rPr>
        <w:lastRenderedPageBreak/>
        <w:t>Género Citrus</w:t>
      </w:r>
    </w:p>
    <w:p w:rsidR="005770CF" w:rsidRDefault="005770CF" w:rsidP="002A3594">
      <w:pPr>
        <w:spacing w:after="0" w:line="360" w:lineRule="auto"/>
        <w:ind w:right="-93"/>
        <w:jc w:val="both"/>
        <w:rPr>
          <w:rFonts w:ascii="Arial" w:hAnsi="Arial" w:cs="Arial"/>
          <w:sz w:val="24"/>
          <w:szCs w:val="24"/>
        </w:rPr>
      </w:pPr>
      <w:r w:rsidRPr="005770CF">
        <w:rPr>
          <w:rFonts w:ascii="Arial" w:hAnsi="Arial" w:cs="Arial"/>
          <w:sz w:val="24"/>
          <w:szCs w:val="24"/>
        </w:rPr>
        <w:t xml:space="preserve">Especie: </w:t>
      </w:r>
      <w:r w:rsidRPr="000163F7">
        <w:rPr>
          <w:rFonts w:ascii="Arial" w:hAnsi="Arial" w:cs="Arial"/>
          <w:i/>
          <w:sz w:val="24"/>
          <w:szCs w:val="24"/>
        </w:rPr>
        <w:t>Citrus aurantifolia</w:t>
      </w:r>
    </w:p>
    <w:p w:rsidR="001D2FA1" w:rsidRDefault="001D2FA1" w:rsidP="002A3594">
      <w:pPr>
        <w:spacing w:line="360" w:lineRule="auto"/>
        <w:ind w:right="-93"/>
        <w:jc w:val="both"/>
        <w:rPr>
          <w:rFonts w:ascii="Arial" w:hAnsi="Arial" w:cs="Arial"/>
          <w:sz w:val="24"/>
          <w:szCs w:val="24"/>
        </w:rPr>
      </w:pPr>
    </w:p>
    <w:p w:rsidR="00931DCD" w:rsidRPr="00D13ACA" w:rsidRDefault="00931DCD" w:rsidP="002A3594">
      <w:pPr>
        <w:spacing w:line="360" w:lineRule="auto"/>
        <w:ind w:right="-93"/>
        <w:jc w:val="both"/>
        <w:rPr>
          <w:rFonts w:ascii="Arial" w:hAnsi="Arial" w:cs="Arial"/>
          <w:i/>
          <w:sz w:val="24"/>
          <w:szCs w:val="24"/>
          <w:u w:val="single"/>
        </w:rPr>
      </w:pPr>
    </w:p>
    <w:p w:rsidR="00D35796" w:rsidRPr="00931DCD" w:rsidRDefault="00951909" w:rsidP="002A3594">
      <w:pPr>
        <w:spacing w:line="360" w:lineRule="auto"/>
        <w:ind w:right="-93"/>
        <w:jc w:val="both"/>
        <w:rPr>
          <w:rFonts w:ascii="Arial" w:hAnsi="Arial" w:cs="Arial"/>
          <w:b/>
          <w:sz w:val="24"/>
          <w:szCs w:val="24"/>
        </w:rPr>
      </w:pPr>
      <w:r>
        <w:rPr>
          <w:rFonts w:ascii="Arial" w:hAnsi="Arial" w:cs="Arial"/>
          <w:b/>
          <w:sz w:val="24"/>
          <w:szCs w:val="24"/>
        </w:rPr>
        <w:t xml:space="preserve">I. f </w:t>
      </w:r>
      <w:r w:rsidR="00D35796" w:rsidRPr="00931DCD">
        <w:rPr>
          <w:rFonts w:ascii="Arial" w:hAnsi="Arial" w:cs="Arial"/>
          <w:b/>
          <w:sz w:val="24"/>
          <w:szCs w:val="24"/>
        </w:rPr>
        <w:t>País o loca</w:t>
      </w:r>
      <w:r>
        <w:rPr>
          <w:rFonts w:ascii="Arial" w:hAnsi="Arial" w:cs="Arial"/>
          <w:b/>
          <w:sz w:val="24"/>
          <w:szCs w:val="24"/>
        </w:rPr>
        <w:t>lidad donde el OGM fue gen</w:t>
      </w:r>
      <w:r w:rsidR="004427B0">
        <w:rPr>
          <w:rFonts w:ascii="Arial" w:hAnsi="Arial" w:cs="Arial"/>
          <w:b/>
          <w:sz w:val="24"/>
          <w:szCs w:val="24"/>
        </w:rPr>
        <w:t>erado</w:t>
      </w:r>
    </w:p>
    <w:p w:rsidR="00D35796" w:rsidRDefault="001D2FA1" w:rsidP="002A3594">
      <w:pPr>
        <w:spacing w:line="360" w:lineRule="auto"/>
        <w:ind w:right="-93"/>
        <w:jc w:val="both"/>
        <w:rPr>
          <w:rFonts w:ascii="Arial" w:hAnsi="Arial" w:cs="Arial"/>
          <w:sz w:val="24"/>
          <w:szCs w:val="24"/>
        </w:rPr>
      </w:pPr>
      <w:r w:rsidRPr="001D2FA1">
        <w:rPr>
          <w:rFonts w:ascii="Arial" w:hAnsi="Arial" w:cs="Arial"/>
          <w:sz w:val="24"/>
          <w:szCs w:val="24"/>
        </w:rPr>
        <w:t>El limón mexicano genéticamente modificado se obtuvo en el Departamento de Biotecnología del Centro de Investigación y de Estudios Avanzados del IPN</w:t>
      </w:r>
      <w:r>
        <w:rPr>
          <w:rFonts w:ascii="Arial" w:hAnsi="Arial" w:cs="Arial"/>
          <w:sz w:val="24"/>
          <w:szCs w:val="24"/>
        </w:rPr>
        <w:t xml:space="preserve"> (CINVESTAV)</w:t>
      </w:r>
      <w:r w:rsidRPr="001D2FA1">
        <w:rPr>
          <w:rFonts w:ascii="Arial" w:hAnsi="Arial" w:cs="Arial"/>
          <w:sz w:val="24"/>
          <w:szCs w:val="24"/>
        </w:rPr>
        <w:t xml:space="preserve">, en las áreas de uso confinado. </w:t>
      </w:r>
      <w:r>
        <w:rPr>
          <w:rFonts w:ascii="Arial" w:hAnsi="Arial" w:cs="Arial"/>
          <w:sz w:val="24"/>
          <w:szCs w:val="24"/>
        </w:rPr>
        <w:t>El CINVESTAV está localizado en la Av. IPN 2508 Col. San Pedro Zacatenco, 07360 México D.F.</w:t>
      </w:r>
    </w:p>
    <w:p w:rsidR="001D2FA1" w:rsidRPr="001D2FA1" w:rsidRDefault="001D2FA1" w:rsidP="002A3594">
      <w:pPr>
        <w:spacing w:line="360" w:lineRule="auto"/>
        <w:ind w:right="-93"/>
        <w:jc w:val="both"/>
        <w:rPr>
          <w:rFonts w:ascii="Arial" w:hAnsi="Arial" w:cs="Arial"/>
          <w:sz w:val="24"/>
          <w:szCs w:val="24"/>
        </w:rPr>
      </w:pPr>
    </w:p>
    <w:p w:rsidR="00D35796" w:rsidRPr="00931DCD" w:rsidRDefault="00951909" w:rsidP="002A3594">
      <w:pPr>
        <w:spacing w:line="360" w:lineRule="auto"/>
        <w:ind w:right="-93"/>
        <w:jc w:val="both"/>
        <w:rPr>
          <w:rFonts w:ascii="Arial" w:hAnsi="Arial" w:cs="Arial"/>
          <w:b/>
          <w:sz w:val="24"/>
          <w:szCs w:val="24"/>
        </w:rPr>
      </w:pPr>
      <w:r>
        <w:rPr>
          <w:rFonts w:ascii="Arial" w:hAnsi="Arial" w:cs="Arial"/>
          <w:b/>
          <w:sz w:val="24"/>
          <w:szCs w:val="24"/>
        </w:rPr>
        <w:t xml:space="preserve">1. g </w:t>
      </w:r>
      <w:r w:rsidR="00D35796" w:rsidRPr="00931DCD">
        <w:rPr>
          <w:rFonts w:ascii="Arial" w:hAnsi="Arial" w:cs="Arial"/>
          <w:b/>
          <w:sz w:val="24"/>
          <w:szCs w:val="24"/>
        </w:rPr>
        <w:t>Referencia documental sobre origen y diversificación del organismo receptor</w:t>
      </w:r>
    </w:p>
    <w:p w:rsidR="00E13767" w:rsidRPr="00931DCD" w:rsidRDefault="00A67879" w:rsidP="002A3594">
      <w:pPr>
        <w:spacing w:line="360" w:lineRule="auto"/>
        <w:ind w:right="-93"/>
        <w:jc w:val="both"/>
        <w:rPr>
          <w:rFonts w:ascii="Arial" w:hAnsi="Arial" w:cs="Arial"/>
        </w:rPr>
      </w:pPr>
      <w:r w:rsidRPr="00931DCD">
        <w:rPr>
          <w:rFonts w:ascii="Arial" w:hAnsi="Arial" w:cs="Arial"/>
          <w:sz w:val="24"/>
          <w:szCs w:val="24"/>
        </w:rPr>
        <w:t>Como se indicó, los cítricos son originarios de Asia</w:t>
      </w:r>
      <w:r w:rsidR="00E13767" w:rsidRPr="00931DCD">
        <w:rPr>
          <w:rFonts w:ascii="Arial" w:hAnsi="Arial" w:cs="Arial"/>
          <w:sz w:val="24"/>
          <w:szCs w:val="24"/>
        </w:rPr>
        <w:t>. Las variedades presentes en nuestro país son limón mexicano, limón persa, naranja dulce, naranja agria, mandarina, lima toronja y mandarina, mientras que en el mundo existen las variedades que se describen a continuación:</w:t>
      </w:r>
    </w:p>
    <w:p w:rsidR="00E13767" w:rsidRPr="00931DCD" w:rsidRDefault="00E13767" w:rsidP="002A3594">
      <w:pPr>
        <w:spacing w:line="360" w:lineRule="auto"/>
        <w:ind w:right="-93"/>
        <w:jc w:val="both"/>
        <w:rPr>
          <w:rFonts w:ascii="Arial" w:hAnsi="Arial" w:cs="Arial"/>
          <w:i/>
          <w:sz w:val="24"/>
          <w:szCs w:val="24"/>
        </w:rPr>
      </w:pPr>
      <w:r w:rsidRPr="00931DCD">
        <w:rPr>
          <w:rFonts w:ascii="Arial" w:hAnsi="Arial" w:cs="Arial"/>
          <w:sz w:val="24"/>
          <w:szCs w:val="24"/>
        </w:rPr>
        <w:t>Naranjos (</w:t>
      </w:r>
      <w:r w:rsidRPr="00931DCD">
        <w:rPr>
          <w:rFonts w:ascii="Arial" w:hAnsi="Arial" w:cs="Arial"/>
          <w:i/>
          <w:sz w:val="24"/>
          <w:szCs w:val="24"/>
        </w:rPr>
        <w:t>Citrus sinensis</w:t>
      </w:r>
      <w:r w:rsidRPr="00931DCD">
        <w:rPr>
          <w:rFonts w:ascii="Arial" w:hAnsi="Arial" w:cs="Arial"/>
          <w:sz w:val="24"/>
          <w:szCs w:val="24"/>
        </w:rPr>
        <w:t>), mandarinas (</w:t>
      </w:r>
      <w:r w:rsidRPr="00931DCD">
        <w:rPr>
          <w:rFonts w:ascii="Arial" w:hAnsi="Arial" w:cs="Arial"/>
          <w:i/>
          <w:sz w:val="24"/>
          <w:szCs w:val="24"/>
        </w:rPr>
        <w:t>Citrus reticulata</w:t>
      </w:r>
      <w:r w:rsidRPr="00931DCD">
        <w:rPr>
          <w:rFonts w:ascii="Arial" w:hAnsi="Arial" w:cs="Arial"/>
          <w:sz w:val="24"/>
          <w:szCs w:val="24"/>
        </w:rPr>
        <w:t>) y tangelos (</w:t>
      </w:r>
      <w:r w:rsidRPr="00931DCD">
        <w:rPr>
          <w:rFonts w:ascii="Arial" w:hAnsi="Arial" w:cs="Arial"/>
          <w:i/>
          <w:sz w:val="24"/>
          <w:szCs w:val="24"/>
        </w:rPr>
        <w:t>Citrus reticulata x Citrus paradisi</w:t>
      </w:r>
      <w:r w:rsidRPr="00931DCD">
        <w:rPr>
          <w:rFonts w:ascii="Arial" w:hAnsi="Arial" w:cs="Arial"/>
          <w:sz w:val="24"/>
          <w:szCs w:val="24"/>
        </w:rPr>
        <w:t>), (</w:t>
      </w:r>
      <w:r w:rsidRPr="00931DCD">
        <w:rPr>
          <w:rFonts w:ascii="Arial" w:hAnsi="Arial" w:cs="Arial"/>
          <w:i/>
          <w:sz w:val="24"/>
          <w:szCs w:val="24"/>
        </w:rPr>
        <w:t>Citrus limon</w:t>
      </w:r>
      <w:r w:rsidRPr="00931DCD">
        <w:rPr>
          <w:rFonts w:ascii="Arial" w:hAnsi="Arial" w:cs="Arial"/>
          <w:sz w:val="24"/>
          <w:szCs w:val="24"/>
        </w:rPr>
        <w:t>), toronjas (</w:t>
      </w:r>
      <w:r w:rsidRPr="00931DCD">
        <w:rPr>
          <w:rFonts w:ascii="Arial" w:hAnsi="Arial" w:cs="Arial"/>
          <w:i/>
          <w:sz w:val="24"/>
          <w:szCs w:val="24"/>
        </w:rPr>
        <w:t>Citrus paradisi</w:t>
      </w:r>
      <w:r w:rsidRPr="00931DCD">
        <w:rPr>
          <w:rFonts w:ascii="Arial" w:hAnsi="Arial" w:cs="Arial"/>
          <w:sz w:val="24"/>
          <w:szCs w:val="24"/>
        </w:rPr>
        <w:t>),</w:t>
      </w:r>
      <w:r w:rsidRPr="00931DCD">
        <w:rPr>
          <w:rFonts w:ascii="Arial" w:hAnsi="Arial" w:cs="Arial"/>
          <w:i/>
          <w:sz w:val="24"/>
          <w:szCs w:val="24"/>
        </w:rPr>
        <w:t xml:space="preserve"> Citrus limonia, Citrus limettioides</w:t>
      </w:r>
      <w:r w:rsidRPr="00931DCD">
        <w:rPr>
          <w:rFonts w:ascii="Arial" w:hAnsi="Arial" w:cs="Arial"/>
          <w:sz w:val="24"/>
          <w:szCs w:val="24"/>
        </w:rPr>
        <w:t xml:space="preserve"> (McClean &amp; Schwarz, citados en EPPO quarantine pest, 1990).  </w:t>
      </w:r>
      <w:r w:rsidRPr="00931DCD">
        <w:rPr>
          <w:rFonts w:ascii="Arial" w:hAnsi="Arial" w:cs="Arial"/>
          <w:i/>
          <w:sz w:val="24"/>
          <w:szCs w:val="24"/>
        </w:rPr>
        <w:t xml:space="preserve">Aeglopsis chevalieri Swingle, Atalantia missionis Oliver, Balsamocitrus dawei Stapf., Calodendrum capensis Thunb, Catharanthus roseus (L.) G. Don X Citroncirus webberi J. Ingram &amp; H.E. Moore,Citrus amblycarpa Ochse, Citrus aurantiifolia (Christm.) Swingle, Citrus aurantium L., Citrus depressa Hayata, Citrus grandis (L.) Osbeck, Citrus hassaku Hort. ex Tanaka, Citrus hystrix DC., Citrus ichangensis Swingle, Citrus jambhiri Lushington, Citrus junos Sieb. ex Tanaka, Citrus kabuchi Hort. ex Tanaka, Citrus limon (L.) Burm., Citrus x limonia Osbeck, Citrus x nobilis Lour. "Ortanique", Citrus maxima (pomelo/shaddock), Citrus x nobilis Lour., Citrus oto Hort. ex Tanaka, Citrus x paradisi Macfad., Citrus reticulata </w:t>
      </w:r>
      <w:r w:rsidRPr="00931DCD">
        <w:rPr>
          <w:rFonts w:ascii="Arial" w:hAnsi="Arial" w:cs="Arial"/>
          <w:i/>
          <w:sz w:val="24"/>
          <w:szCs w:val="24"/>
        </w:rPr>
        <w:lastRenderedPageBreak/>
        <w:t xml:space="preserve">Blanco, Citrus sinensis (L.) </w:t>
      </w:r>
      <w:r w:rsidRPr="00931DCD">
        <w:rPr>
          <w:rFonts w:ascii="Arial" w:hAnsi="Arial" w:cs="Arial"/>
          <w:i/>
          <w:sz w:val="24"/>
          <w:szCs w:val="24"/>
          <w:lang w:val="en-US"/>
        </w:rPr>
        <w:t xml:space="preserve">Osbeck, Citrus sunki Hort. ex Tanaka, Citrus unshiu (Mack.) Marc, Clausena indica Oliver, Clausena lansium (Lour.) Skeels, Cuscuta australis R. Br. (Convolvulaceae, Cuscutaceae), Fortunella spp., Limonia acidissima L., Microcitrus australasica (F.J. Muell.) Swingle, Murraya koenigii (L.), Murraya paniculata (L.) Jack, Poncirus trifoliata (L.) Raf., Swinglea glutinosa (Blanco) Merr., Toddalia lanceolata Lam, Triphasia trifolia (Burm. f.) </w:t>
      </w:r>
      <w:r w:rsidRPr="00931DCD">
        <w:rPr>
          <w:rFonts w:ascii="Arial" w:hAnsi="Arial" w:cs="Arial"/>
          <w:i/>
          <w:sz w:val="24"/>
          <w:szCs w:val="24"/>
        </w:rPr>
        <w:t>P. Wilson.</w:t>
      </w:r>
    </w:p>
    <w:p w:rsidR="002D36CE" w:rsidRPr="00931DCD" w:rsidRDefault="002D36CE" w:rsidP="002A3594">
      <w:pPr>
        <w:spacing w:line="360" w:lineRule="auto"/>
        <w:ind w:right="-93"/>
        <w:jc w:val="both"/>
        <w:rPr>
          <w:rFonts w:ascii="Arial" w:hAnsi="Arial" w:cs="Arial"/>
          <w:i/>
          <w:sz w:val="24"/>
          <w:szCs w:val="24"/>
        </w:rPr>
      </w:pPr>
      <w:r w:rsidRPr="00931DCD">
        <w:rPr>
          <w:rFonts w:ascii="Arial" w:hAnsi="Arial" w:cs="Arial"/>
          <w:i/>
          <w:sz w:val="24"/>
          <w:szCs w:val="24"/>
        </w:rPr>
        <w:t>A continuación se muestra la distribución mundial de los cítricos.</w:t>
      </w:r>
    </w:p>
    <w:p w:rsidR="002D36CE" w:rsidRDefault="002D36CE" w:rsidP="002A3594">
      <w:pPr>
        <w:spacing w:line="360" w:lineRule="auto"/>
        <w:ind w:right="-93"/>
        <w:jc w:val="both"/>
        <w:rPr>
          <w:rFonts w:ascii="Arial" w:hAnsi="Arial" w:cs="Arial"/>
          <w:i/>
        </w:rPr>
      </w:pPr>
      <w:r>
        <w:rPr>
          <w:noProof/>
          <w:lang w:eastAsia="es-MX"/>
        </w:rPr>
        <w:drawing>
          <wp:inline distT="0" distB="0" distL="0" distR="0" wp14:anchorId="1B18B49C" wp14:editId="1DD576F4">
            <wp:extent cx="3248025" cy="221666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953" t="45015" r="31207" b="11481"/>
                    <a:stretch/>
                  </pic:blipFill>
                  <pic:spPr bwMode="auto">
                    <a:xfrm>
                      <a:off x="0" y="0"/>
                      <a:ext cx="3250642" cy="2218448"/>
                    </a:xfrm>
                    <a:prstGeom prst="rect">
                      <a:avLst/>
                    </a:prstGeom>
                    <a:ln>
                      <a:noFill/>
                    </a:ln>
                    <a:extLst>
                      <a:ext uri="{53640926-AAD7-44D8-BBD7-CCE9431645EC}">
                        <a14:shadowObscured xmlns:a14="http://schemas.microsoft.com/office/drawing/2010/main"/>
                      </a:ext>
                    </a:extLst>
                  </pic:spPr>
                </pic:pic>
              </a:graphicData>
            </a:graphic>
          </wp:inline>
        </w:drawing>
      </w:r>
    </w:p>
    <w:p w:rsidR="002D36CE" w:rsidRPr="00294482" w:rsidRDefault="00D327F4" w:rsidP="002A3594">
      <w:pPr>
        <w:spacing w:line="360" w:lineRule="auto"/>
        <w:ind w:right="-93"/>
        <w:jc w:val="both"/>
        <w:rPr>
          <w:rFonts w:ascii="Arial" w:hAnsi="Arial" w:cs="Arial"/>
          <w:sz w:val="24"/>
          <w:szCs w:val="24"/>
        </w:rPr>
      </w:pPr>
      <w:r w:rsidRPr="00D327F4">
        <w:rPr>
          <w:rFonts w:ascii="Arial" w:hAnsi="Arial" w:cs="Arial"/>
          <w:b/>
          <w:sz w:val="24"/>
          <w:szCs w:val="24"/>
        </w:rPr>
        <w:t>Figura 2</w:t>
      </w:r>
      <w:r w:rsidR="002D36CE" w:rsidRPr="00D327F4">
        <w:rPr>
          <w:rFonts w:ascii="Arial" w:hAnsi="Arial" w:cs="Arial"/>
          <w:b/>
          <w:sz w:val="24"/>
          <w:szCs w:val="24"/>
        </w:rPr>
        <w:t>.</w:t>
      </w:r>
      <w:r w:rsidR="002D36CE" w:rsidRPr="00294482">
        <w:rPr>
          <w:rFonts w:ascii="Arial" w:hAnsi="Arial" w:cs="Arial"/>
          <w:sz w:val="24"/>
          <w:szCs w:val="24"/>
        </w:rPr>
        <w:t xml:space="preserve"> Distribución de los cítricos en el mundo, principalmente entre los trópicos de cáncer y capricornio.</w:t>
      </w:r>
    </w:p>
    <w:p w:rsidR="002D36CE" w:rsidRPr="00294482" w:rsidRDefault="00453851" w:rsidP="002A3594">
      <w:pPr>
        <w:spacing w:line="360" w:lineRule="auto"/>
        <w:ind w:right="-93"/>
        <w:jc w:val="both"/>
        <w:rPr>
          <w:rFonts w:ascii="Arial" w:hAnsi="Arial" w:cs="Arial"/>
          <w:sz w:val="24"/>
          <w:szCs w:val="24"/>
        </w:rPr>
      </w:pPr>
      <w:r w:rsidRPr="00294482">
        <w:rPr>
          <w:rFonts w:ascii="Arial" w:hAnsi="Arial" w:cs="Arial"/>
          <w:sz w:val="24"/>
          <w:szCs w:val="24"/>
        </w:rPr>
        <w:t>Hábito: Son árboles o arbustos, perennes, aromáticos por la presencia de glándulas secretoras de aceites esenciales, mesófitas o xerófitas.</w:t>
      </w:r>
    </w:p>
    <w:p w:rsidR="00453851" w:rsidRPr="00294482" w:rsidRDefault="00163E4D" w:rsidP="002A3594">
      <w:pPr>
        <w:spacing w:line="360" w:lineRule="auto"/>
        <w:ind w:right="-93"/>
        <w:jc w:val="both"/>
        <w:rPr>
          <w:rFonts w:ascii="Arial" w:hAnsi="Arial" w:cs="Arial"/>
          <w:sz w:val="24"/>
          <w:szCs w:val="24"/>
        </w:rPr>
      </w:pPr>
      <w:r>
        <w:rPr>
          <w:rFonts w:ascii="Arial" w:hAnsi="Arial" w:cs="Arial"/>
          <w:sz w:val="24"/>
          <w:szCs w:val="24"/>
        </w:rPr>
        <w:t>Hojas decidu</w:t>
      </w:r>
      <w:r w:rsidR="00453851" w:rsidRPr="00294482">
        <w:rPr>
          <w:rFonts w:ascii="Arial" w:hAnsi="Arial" w:cs="Arial"/>
          <w:sz w:val="24"/>
          <w:szCs w:val="24"/>
        </w:rPr>
        <w:t>as, trifoliadas o compuestas, alternas, sin estípulas, con cavidades sec</w:t>
      </w:r>
      <w:r>
        <w:rPr>
          <w:rFonts w:ascii="Arial" w:hAnsi="Arial" w:cs="Arial"/>
          <w:sz w:val="24"/>
          <w:szCs w:val="24"/>
        </w:rPr>
        <w:t>retoras o es</w:t>
      </w:r>
      <w:r w:rsidR="00453851" w:rsidRPr="00294482">
        <w:rPr>
          <w:rFonts w:ascii="Arial" w:hAnsi="Arial" w:cs="Arial"/>
          <w:sz w:val="24"/>
          <w:szCs w:val="24"/>
        </w:rPr>
        <w:t xml:space="preserve">quizógenas, en general con espinas. </w:t>
      </w:r>
    </w:p>
    <w:p w:rsidR="00453851" w:rsidRPr="00294482" w:rsidRDefault="00453851" w:rsidP="002A3594">
      <w:pPr>
        <w:spacing w:line="360" w:lineRule="auto"/>
        <w:ind w:right="-93"/>
        <w:jc w:val="both"/>
        <w:rPr>
          <w:rFonts w:ascii="Arial" w:hAnsi="Arial" w:cs="Arial"/>
          <w:sz w:val="24"/>
          <w:szCs w:val="24"/>
        </w:rPr>
      </w:pPr>
      <w:r w:rsidRPr="00294482">
        <w:rPr>
          <w:rFonts w:ascii="Arial" w:hAnsi="Arial" w:cs="Arial"/>
          <w:sz w:val="24"/>
          <w:szCs w:val="24"/>
        </w:rPr>
        <w:t>Reproducción: Son plantas hermafroditas, algunas variedades no comerciales son monoicas o dioicas. Su polinización es autogámica, aunque son visitadas por insectos, principalmente abejas. Sus inflorescencias son corimbos o panículas terminales. Su</w:t>
      </w:r>
      <w:r w:rsidR="00163E4D">
        <w:rPr>
          <w:rFonts w:ascii="Arial" w:hAnsi="Arial" w:cs="Arial"/>
          <w:sz w:val="24"/>
          <w:szCs w:val="24"/>
        </w:rPr>
        <w:t>s</w:t>
      </w:r>
      <w:r w:rsidRPr="00294482">
        <w:rPr>
          <w:rFonts w:ascii="Arial" w:hAnsi="Arial" w:cs="Arial"/>
          <w:sz w:val="24"/>
          <w:szCs w:val="24"/>
        </w:rPr>
        <w:t xml:space="preserve"> flores son bracteadas, olorosas de color blanco u amarillo verdoso, presentan disco </w:t>
      </w:r>
      <w:r w:rsidR="00163E4D">
        <w:rPr>
          <w:rFonts w:ascii="Arial" w:hAnsi="Arial" w:cs="Arial"/>
          <w:sz w:val="24"/>
          <w:szCs w:val="24"/>
        </w:rPr>
        <w:t>hipógino. Su cá</w:t>
      </w:r>
      <w:r w:rsidRPr="00294482">
        <w:rPr>
          <w:rFonts w:ascii="Arial" w:hAnsi="Arial" w:cs="Arial"/>
          <w:sz w:val="24"/>
          <w:szCs w:val="24"/>
        </w:rPr>
        <w:t xml:space="preserve">liz es lobulado con múltiplos de 4 o 5 unidades. La corola tiene como consecuencia, pétalos de 4 o 5 y sus múltiplos, los pétalos son solapados, dentados o ciliados y </w:t>
      </w:r>
      <w:r w:rsidR="00987670">
        <w:rPr>
          <w:rFonts w:ascii="Arial" w:hAnsi="Arial" w:cs="Arial"/>
          <w:sz w:val="24"/>
          <w:szCs w:val="24"/>
        </w:rPr>
        <w:t xml:space="preserve">tienen </w:t>
      </w:r>
      <w:r w:rsidRPr="00294482">
        <w:rPr>
          <w:rFonts w:ascii="Arial" w:hAnsi="Arial" w:cs="Arial"/>
          <w:sz w:val="24"/>
          <w:szCs w:val="24"/>
        </w:rPr>
        <w:t xml:space="preserve">un disco basal nectarífero con 8 a 20 </w:t>
      </w:r>
      <w:r w:rsidRPr="00294482">
        <w:rPr>
          <w:rFonts w:ascii="Arial" w:hAnsi="Arial" w:cs="Arial"/>
          <w:sz w:val="24"/>
          <w:szCs w:val="24"/>
        </w:rPr>
        <w:lastRenderedPageBreak/>
        <w:t>glándulas secretoras. El androceo puede tener de 2 a 60 estambres. El gineceo contiene un ovario súpero, lobulado, de 1 a 100 carpelos fusionados. El fruto es un hesperidio, mientras que las semillas poseen endospermo (García Breijo, 2010).</w:t>
      </w:r>
    </w:p>
    <w:p w:rsidR="00453851" w:rsidRPr="00294482" w:rsidRDefault="00453851" w:rsidP="002A3594">
      <w:pPr>
        <w:spacing w:line="360" w:lineRule="auto"/>
        <w:ind w:right="-93"/>
        <w:jc w:val="both"/>
        <w:rPr>
          <w:rFonts w:ascii="Arial" w:hAnsi="Arial" w:cs="Arial"/>
          <w:sz w:val="24"/>
          <w:szCs w:val="24"/>
        </w:rPr>
      </w:pPr>
      <w:r w:rsidRPr="00294482">
        <w:rPr>
          <w:rFonts w:ascii="Arial" w:hAnsi="Arial" w:cs="Arial"/>
          <w:sz w:val="24"/>
          <w:szCs w:val="24"/>
        </w:rPr>
        <w:t>Fisiología: Son plantas con metabolismo C3, cianogénicas o no cianogénicas, con y sin alcaloides, presencia o no de proantocianidinas, síntesis de flavonoides como quercetina, kenferol o miticetina</w:t>
      </w:r>
      <w:r w:rsidR="000163F7" w:rsidRPr="00294482">
        <w:rPr>
          <w:rFonts w:ascii="Arial" w:hAnsi="Arial" w:cs="Arial"/>
          <w:sz w:val="24"/>
          <w:szCs w:val="24"/>
        </w:rPr>
        <w:t>. Puede producir saponinas y se han detectado antroquinonas (García Breijo, 2010).</w:t>
      </w:r>
    </w:p>
    <w:p w:rsidR="000163F7" w:rsidRPr="002D36CE" w:rsidRDefault="000163F7" w:rsidP="002A3594">
      <w:pPr>
        <w:spacing w:line="360" w:lineRule="auto"/>
        <w:ind w:right="-93"/>
        <w:jc w:val="both"/>
        <w:rPr>
          <w:rFonts w:ascii="Arial" w:hAnsi="Arial" w:cs="Arial"/>
        </w:rPr>
      </w:pPr>
    </w:p>
    <w:p w:rsidR="00950D0D" w:rsidRPr="004824C6" w:rsidRDefault="004824C6" w:rsidP="002A3594">
      <w:pPr>
        <w:spacing w:line="360" w:lineRule="auto"/>
        <w:ind w:right="-93"/>
        <w:jc w:val="both"/>
        <w:rPr>
          <w:rFonts w:ascii="Arial" w:hAnsi="Arial" w:cs="Arial"/>
          <w:b/>
          <w:color w:val="000000" w:themeColor="text1"/>
          <w:sz w:val="24"/>
          <w:szCs w:val="24"/>
        </w:rPr>
      </w:pPr>
      <w:r w:rsidRPr="004824C6">
        <w:rPr>
          <w:rFonts w:ascii="Arial" w:hAnsi="Arial" w:cs="Arial"/>
          <w:b/>
          <w:color w:val="000000" w:themeColor="text1"/>
          <w:sz w:val="24"/>
          <w:szCs w:val="24"/>
        </w:rPr>
        <w:t xml:space="preserve">1. k </w:t>
      </w:r>
      <w:r w:rsidR="00D35796" w:rsidRPr="004824C6">
        <w:rPr>
          <w:rFonts w:ascii="Arial" w:hAnsi="Arial" w:cs="Arial"/>
          <w:b/>
          <w:color w:val="000000" w:themeColor="text1"/>
          <w:sz w:val="24"/>
          <w:szCs w:val="24"/>
        </w:rPr>
        <w:t>Descripción del método de transformación</w:t>
      </w:r>
    </w:p>
    <w:p w:rsidR="00950D0D" w:rsidRDefault="00446FC7" w:rsidP="002A3594">
      <w:pPr>
        <w:spacing w:line="360" w:lineRule="auto"/>
        <w:ind w:right="-93"/>
        <w:jc w:val="both"/>
        <w:rPr>
          <w:rFonts w:ascii="Arial" w:hAnsi="Arial" w:cs="Arial"/>
          <w:color w:val="000000" w:themeColor="text1"/>
          <w:sz w:val="24"/>
          <w:szCs w:val="24"/>
        </w:rPr>
      </w:pPr>
      <w:r w:rsidRPr="00446FC7">
        <w:rPr>
          <w:rFonts w:ascii="Arial" w:hAnsi="Arial" w:cs="Arial"/>
          <w:color w:val="000000" w:themeColor="text1"/>
          <w:sz w:val="24"/>
          <w:szCs w:val="24"/>
        </w:rPr>
        <w:t xml:space="preserve">La expresión estable de </w:t>
      </w:r>
      <w:r w:rsidR="00950D0D">
        <w:rPr>
          <w:rFonts w:ascii="Arial" w:hAnsi="Arial" w:cs="Arial"/>
          <w:color w:val="000000" w:themeColor="text1"/>
          <w:sz w:val="24"/>
          <w:szCs w:val="24"/>
        </w:rPr>
        <w:t>antimicrobianos</w:t>
      </w:r>
      <w:r w:rsidRPr="00446FC7">
        <w:rPr>
          <w:rFonts w:ascii="Arial" w:hAnsi="Arial" w:cs="Arial"/>
          <w:color w:val="000000" w:themeColor="text1"/>
          <w:sz w:val="24"/>
          <w:szCs w:val="24"/>
        </w:rPr>
        <w:t xml:space="preserve"> en limón mexicano se realizó de acuerdo al protocolo propuesto por Cervera et al (</w:t>
      </w:r>
      <w:r w:rsidR="00950D0D">
        <w:rPr>
          <w:rFonts w:ascii="Arial" w:hAnsi="Arial" w:cs="Arial"/>
          <w:color w:val="000000" w:themeColor="text1"/>
          <w:sz w:val="24"/>
          <w:szCs w:val="24"/>
        </w:rPr>
        <w:t xml:space="preserve">2005), la cual emplea cepas de </w:t>
      </w:r>
      <w:r w:rsidR="00950D0D" w:rsidRPr="00950D0D">
        <w:rPr>
          <w:rFonts w:ascii="Arial" w:hAnsi="Arial" w:cs="Arial"/>
          <w:i/>
          <w:color w:val="000000" w:themeColor="text1"/>
          <w:sz w:val="24"/>
          <w:szCs w:val="24"/>
        </w:rPr>
        <w:t>Agrobacterium tumefaciens</w:t>
      </w:r>
      <w:r w:rsidR="00950D0D">
        <w:rPr>
          <w:rFonts w:ascii="Arial" w:hAnsi="Arial" w:cs="Arial"/>
          <w:color w:val="000000" w:themeColor="text1"/>
          <w:sz w:val="24"/>
          <w:szCs w:val="24"/>
        </w:rPr>
        <w:t xml:space="preserve"> conteniendo los vectores binarios recombinantes.</w:t>
      </w:r>
    </w:p>
    <w:p w:rsidR="00950D0D" w:rsidRDefault="00950D0D" w:rsidP="002A3594">
      <w:pPr>
        <w:spacing w:line="360" w:lineRule="auto"/>
        <w:ind w:right="-93"/>
        <w:jc w:val="both"/>
        <w:rPr>
          <w:rFonts w:ascii="Arial" w:hAnsi="Arial" w:cs="Arial"/>
          <w:color w:val="000000" w:themeColor="text1"/>
          <w:sz w:val="24"/>
          <w:szCs w:val="24"/>
        </w:rPr>
      </w:pPr>
      <w:r>
        <w:rPr>
          <w:rFonts w:ascii="Arial" w:hAnsi="Arial" w:cs="Arial"/>
          <w:color w:val="000000" w:themeColor="text1"/>
          <w:sz w:val="24"/>
          <w:szCs w:val="24"/>
        </w:rPr>
        <w:t xml:space="preserve">A continuación se describen generalidades de </w:t>
      </w:r>
      <w:r w:rsidRPr="007E6D34">
        <w:rPr>
          <w:rFonts w:ascii="Arial" w:hAnsi="Arial" w:cs="Arial"/>
          <w:i/>
          <w:color w:val="000000" w:themeColor="text1"/>
          <w:sz w:val="24"/>
          <w:szCs w:val="24"/>
        </w:rPr>
        <w:t>Agrobacterium</w:t>
      </w:r>
      <w:r>
        <w:rPr>
          <w:rFonts w:ascii="Arial" w:hAnsi="Arial" w:cs="Arial"/>
          <w:color w:val="000000" w:themeColor="text1"/>
          <w:sz w:val="24"/>
          <w:szCs w:val="24"/>
        </w:rPr>
        <w:t>.</w:t>
      </w:r>
    </w:p>
    <w:p w:rsidR="00034251" w:rsidRDefault="00192711" w:rsidP="002A3594">
      <w:pPr>
        <w:pStyle w:val="Prrafodelista"/>
        <w:spacing w:line="360" w:lineRule="auto"/>
        <w:ind w:left="0" w:right="-93"/>
        <w:jc w:val="both"/>
        <w:rPr>
          <w:rFonts w:ascii="Arial" w:hAnsi="Arial" w:cs="Arial"/>
          <w:color w:val="000000" w:themeColor="text1"/>
          <w:sz w:val="24"/>
          <w:szCs w:val="24"/>
        </w:rPr>
      </w:pPr>
      <w:r w:rsidRPr="00192711">
        <w:rPr>
          <w:rFonts w:ascii="Arial" w:hAnsi="Arial" w:cs="Arial"/>
          <w:i/>
          <w:color w:val="000000" w:themeColor="text1"/>
          <w:sz w:val="24"/>
          <w:szCs w:val="24"/>
        </w:rPr>
        <w:t>A. tumefaciens</w:t>
      </w:r>
      <w:r>
        <w:rPr>
          <w:rFonts w:ascii="Arial" w:hAnsi="Arial" w:cs="Arial"/>
          <w:color w:val="000000" w:themeColor="text1"/>
          <w:sz w:val="24"/>
          <w:szCs w:val="24"/>
        </w:rPr>
        <w:t xml:space="preserve"> es una bacteria gram neg</w:t>
      </w:r>
      <w:r w:rsidR="007E6D34">
        <w:rPr>
          <w:rFonts w:ascii="Arial" w:hAnsi="Arial" w:cs="Arial"/>
          <w:color w:val="000000" w:themeColor="text1"/>
          <w:sz w:val="24"/>
          <w:szCs w:val="24"/>
        </w:rPr>
        <w:t>ativa, de la familia Rhizobiacea</w:t>
      </w:r>
      <w:r>
        <w:rPr>
          <w:rFonts w:ascii="Arial" w:hAnsi="Arial" w:cs="Arial"/>
          <w:color w:val="000000" w:themeColor="text1"/>
          <w:sz w:val="24"/>
          <w:szCs w:val="24"/>
        </w:rPr>
        <w:t>, saprobio y patógeno de plantas. Contiene de manera característica un megaplásmido denominado Ti, o inductor de tumores. En este plásmido se encuentran codificadas proteínas con la función de sintetizar un segmento de DNA (T-DNA) y transferirlo de la bacteria a la célula vegetal para finalmente introducirse de manera estable a los cromosomas de la planta</w:t>
      </w:r>
      <w:r w:rsidR="00D13ACA" w:rsidRPr="00192711">
        <w:rPr>
          <w:rFonts w:ascii="Arial" w:hAnsi="Arial" w:cs="Arial"/>
          <w:color w:val="000000" w:themeColor="text1"/>
          <w:sz w:val="24"/>
          <w:szCs w:val="24"/>
        </w:rPr>
        <w:t>.</w:t>
      </w:r>
      <w:r w:rsidR="00034251">
        <w:rPr>
          <w:rFonts w:ascii="Arial" w:hAnsi="Arial" w:cs="Arial"/>
          <w:color w:val="000000" w:themeColor="text1"/>
          <w:sz w:val="24"/>
          <w:szCs w:val="24"/>
        </w:rPr>
        <w:t xml:space="preserve"> El plásmido Ti contiene la </w:t>
      </w:r>
      <w:r w:rsidR="00D13ACA" w:rsidRPr="00950D0D">
        <w:rPr>
          <w:rFonts w:ascii="Arial" w:hAnsi="Arial" w:cs="Arial"/>
          <w:color w:val="000000" w:themeColor="text1"/>
          <w:sz w:val="24"/>
          <w:szCs w:val="24"/>
        </w:rPr>
        <w:t>región de T-DNA se encuentra entre el borde der</w:t>
      </w:r>
      <w:r w:rsidR="00034251">
        <w:rPr>
          <w:rFonts w:ascii="Arial" w:hAnsi="Arial" w:cs="Arial"/>
          <w:color w:val="000000" w:themeColor="text1"/>
          <w:sz w:val="24"/>
          <w:szCs w:val="24"/>
        </w:rPr>
        <w:t xml:space="preserve">echo y borde izquierdo, </w:t>
      </w:r>
      <w:r w:rsidR="00D13ACA" w:rsidRPr="00950D0D">
        <w:rPr>
          <w:rFonts w:ascii="Arial" w:hAnsi="Arial" w:cs="Arial"/>
          <w:color w:val="000000" w:themeColor="text1"/>
          <w:sz w:val="24"/>
          <w:szCs w:val="24"/>
        </w:rPr>
        <w:t xml:space="preserve">dos secuencias </w:t>
      </w:r>
      <w:r w:rsidR="00034251">
        <w:rPr>
          <w:rFonts w:ascii="Arial" w:hAnsi="Arial" w:cs="Arial"/>
          <w:color w:val="000000" w:themeColor="text1"/>
          <w:sz w:val="24"/>
          <w:szCs w:val="24"/>
        </w:rPr>
        <w:t>que reconocen proteínas y limitan el segmento a transferir. En el</w:t>
      </w:r>
      <w:r w:rsidR="00D13ACA" w:rsidRPr="00950D0D">
        <w:rPr>
          <w:rFonts w:ascii="Arial" w:hAnsi="Arial" w:cs="Arial"/>
          <w:color w:val="000000" w:themeColor="text1"/>
          <w:sz w:val="24"/>
          <w:szCs w:val="24"/>
        </w:rPr>
        <w:t xml:space="preserve"> plásmido </w:t>
      </w:r>
      <w:r w:rsidR="00034251">
        <w:rPr>
          <w:rFonts w:ascii="Arial" w:hAnsi="Arial" w:cs="Arial"/>
          <w:color w:val="000000" w:themeColor="text1"/>
          <w:sz w:val="24"/>
          <w:szCs w:val="24"/>
        </w:rPr>
        <w:t xml:space="preserve">también está la </w:t>
      </w:r>
      <w:r w:rsidR="00D13ACA" w:rsidRPr="00950D0D">
        <w:rPr>
          <w:rFonts w:ascii="Arial" w:hAnsi="Arial" w:cs="Arial"/>
          <w:color w:val="000000" w:themeColor="text1"/>
          <w:sz w:val="24"/>
          <w:szCs w:val="24"/>
        </w:rPr>
        <w:t>región de virulencia</w:t>
      </w:r>
      <w:r w:rsidR="00034251">
        <w:rPr>
          <w:rFonts w:ascii="Arial" w:hAnsi="Arial" w:cs="Arial"/>
          <w:color w:val="000000" w:themeColor="text1"/>
          <w:sz w:val="24"/>
          <w:szCs w:val="24"/>
        </w:rPr>
        <w:t xml:space="preserve"> y la región de síntesis de opinas, que son aminoácidos modificados que solo puede metabolizar la bacteria. Adicionalmente hay u</w:t>
      </w:r>
      <w:r w:rsidR="007E6D34">
        <w:rPr>
          <w:rFonts w:ascii="Arial" w:hAnsi="Arial" w:cs="Arial"/>
          <w:color w:val="000000" w:themeColor="text1"/>
          <w:sz w:val="24"/>
          <w:szCs w:val="24"/>
        </w:rPr>
        <w:t>n origen de replicación que es</w:t>
      </w:r>
      <w:r w:rsidR="00034251">
        <w:rPr>
          <w:rFonts w:ascii="Arial" w:hAnsi="Arial" w:cs="Arial"/>
          <w:color w:val="000000" w:themeColor="text1"/>
          <w:sz w:val="24"/>
          <w:szCs w:val="24"/>
        </w:rPr>
        <w:t xml:space="preserve"> reconoc</w:t>
      </w:r>
      <w:r w:rsidR="007E6D34">
        <w:rPr>
          <w:rFonts w:ascii="Arial" w:hAnsi="Arial" w:cs="Arial"/>
          <w:color w:val="000000" w:themeColor="text1"/>
          <w:sz w:val="24"/>
          <w:szCs w:val="24"/>
        </w:rPr>
        <w:t xml:space="preserve">ido </w:t>
      </w:r>
      <w:r w:rsidR="00034251">
        <w:rPr>
          <w:rFonts w:ascii="Arial" w:hAnsi="Arial" w:cs="Arial"/>
          <w:color w:val="000000" w:themeColor="text1"/>
          <w:sz w:val="24"/>
          <w:szCs w:val="24"/>
        </w:rPr>
        <w:t xml:space="preserve">solamente </w:t>
      </w:r>
      <w:r w:rsidR="007E6D34">
        <w:rPr>
          <w:rFonts w:ascii="Arial" w:hAnsi="Arial" w:cs="Arial"/>
          <w:color w:val="000000" w:themeColor="text1"/>
          <w:sz w:val="24"/>
          <w:szCs w:val="24"/>
        </w:rPr>
        <w:t xml:space="preserve">por la maquinaria replicativa de </w:t>
      </w:r>
      <w:r w:rsidR="00034251" w:rsidRPr="007E6D34">
        <w:rPr>
          <w:rFonts w:ascii="Arial" w:hAnsi="Arial" w:cs="Arial"/>
          <w:i/>
          <w:color w:val="000000" w:themeColor="text1"/>
          <w:sz w:val="24"/>
          <w:szCs w:val="24"/>
        </w:rPr>
        <w:t>Agrobacterium</w:t>
      </w:r>
      <w:r w:rsidR="007E6D34">
        <w:rPr>
          <w:rFonts w:ascii="Arial" w:hAnsi="Arial" w:cs="Arial"/>
          <w:color w:val="000000" w:themeColor="text1"/>
          <w:sz w:val="24"/>
          <w:szCs w:val="24"/>
        </w:rPr>
        <w:t>.</w:t>
      </w:r>
    </w:p>
    <w:p w:rsidR="00CB6070" w:rsidRPr="00993075" w:rsidRDefault="00CB6070" w:rsidP="002A3594">
      <w:pPr>
        <w:spacing w:line="360" w:lineRule="auto"/>
        <w:ind w:right="-93"/>
        <w:jc w:val="both"/>
        <w:rPr>
          <w:rFonts w:ascii="Arial" w:hAnsi="Arial" w:cs="Arial"/>
          <w:color w:val="000000" w:themeColor="text1"/>
          <w:sz w:val="24"/>
          <w:szCs w:val="24"/>
        </w:rPr>
      </w:pPr>
      <w:r>
        <w:rPr>
          <w:rFonts w:ascii="Arial" w:hAnsi="Arial" w:cs="Arial"/>
          <w:color w:val="000000" w:themeColor="text1"/>
          <w:sz w:val="24"/>
          <w:szCs w:val="24"/>
        </w:rPr>
        <w:t xml:space="preserve">Inicio de la infección: Productos de degradación de la pared celular de la planta son percibidos por la bacteria. Existen compuestos sintéticos como la acetosiringona que mimetiza a los productos de degradación y atraen a la bacteria. </w:t>
      </w:r>
      <w:r w:rsidR="00D13ACA" w:rsidRPr="00950D0D">
        <w:rPr>
          <w:rFonts w:ascii="Arial" w:hAnsi="Arial" w:cs="Arial"/>
          <w:color w:val="000000" w:themeColor="text1"/>
          <w:sz w:val="24"/>
          <w:szCs w:val="24"/>
        </w:rPr>
        <w:t xml:space="preserve">Una vez la </w:t>
      </w:r>
      <w:r w:rsidR="00D13ACA" w:rsidRPr="00950D0D">
        <w:rPr>
          <w:rFonts w:ascii="Arial" w:hAnsi="Arial" w:cs="Arial"/>
          <w:color w:val="000000" w:themeColor="text1"/>
          <w:sz w:val="24"/>
          <w:szCs w:val="24"/>
        </w:rPr>
        <w:lastRenderedPageBreak/>
        <w:t xml:space="preserve">bacteria reconoce a la planta, pone en marcha un mecanismo muy complejo: </w:t>
      </w:r>
      <w:r>
        <w:rPr>
          <w:rFonts w:ascii="Arial" w:hAnsi="Arial" w:cs="Arial"/>
          <w:color w:val="000000" w:themeColor="text1"/>
          <w:sz w:val="24"/>
          <w:szCs w:val="24"/>
        </w:rPr>
        <w:t xml:space="preserve">La bacteria tiene una proteína de membrana denominada sistema de dos componentes, la cual forma un complejo con la acetosiringona, tiene un cambio conformacional, se autofosforila y transfiere el grupo fosfato a proteínas transductoras que se activan por fosforilación. Esta cascada de señalización promueve la expresión de genes cuyos productos están asociados a formar un motor de transferencia de material genético entre la bacteria y la planta, y la síntesis de una cadena sencilla de T-DNA, protegida con proteínas que evitan su degradación en toda su ruta de transporte hasta el poro nuclear eucarionte. Aunque se considera que la inserción del T-DNA puede ocurrir al azar, se conoce que los sitios más frecuentes de </w:t>
      </w:r>
      <w:r w:rsidRPr="00993075">
        <w:rPr>
          <w:rFonts w:ascii="Arial" w:hAnsi="Arial" w:cs="Arial"/>
          <w:color w:val="000000" w:themeColor="text1"/>
          <w:sz w:val="24"/>
          <w:szCs w:val="24"/>
        </w:rPr>
        <w:t>inserción corresponden a eucromatina.</w:t>
      </w:r>
    </w:p>
    <w:p w:rsidR="00D13ACA" w:rsidRPr="00993075" w:rsidRDefault="00CB6070" w:rsidP="002A3594">
      <w:pPr>
        <w:spacing w:line="360" w:lineRule="auto"/>
        <w:ind w:right="-93"/>
        <w:jc w:val="both"/>
        <w:rPr>
          <w:rFonts w:ascii="Arial" w:hAnsi="Arial" w:cs="Arial"/>
          <w:color w:val="000000" w:themeColor="text1"/>
          <w:sz w:val="24"/>
          <w:szCs w:val="24"/>
        </w:rPr>
      </w:pPr>
      <w:r w:rsidRPr="00993075">
        <w:rPr>
          <w:rFonts w:ascii="Arial" w:hAnsi="Arial" w:cs="Arial"/>
          <w:color w:val="000000" w:themeColor="text1"/>
          <w:sz w:val="24"/>
          <w:szCs w:val="24"/>
        </w:rPr>
        <w:t xml:space="preserve">Transformación genética de cítricos </w:t>
      </w:r>
    </w:p>
    <w:p w:rsidR="00950D0D" w:rsidRPr="00446FC7" w:rsidRDefault="00950D0D" w:rsidP="002A3594">
      <w:pPr>
        <w:spacing w:line="360" w:lineRule="auto"/>
        <w:ind w:right="-93"/>
        <w:jc w:val="both"/>
        <w:rPr>
          <w:rFonts w:ascii="Arial" w:hAnsi="Arial" w:cs="Arial"/>
          <w:color w:val="000000" w:themeColor="text1"/>
          <w:sz w:val="24"/>
          <w:szCs w:val="24"/>
        </w:rPr>
      </w:pPr>
      <w:r>
        <w:rPr>
          <w:rFonts w:ascii="Arial" w:hAnsi="Arial" w:cs="Arial"/>
          <w:color w:val="000000" w:themeColor="text1"/>
          <w:sz w:val="24"/>
          <w:szCs w:val="24"/>
        </w:rPr>
        <w:t>La técnica que a continuación se describe consiste en transformar</w:t>
      </w:r>
      <w:r w:rsidRPr="00446FC7">
        <w:rPr>
          <w:rFonts w:ascii="Arial" w:hAnsi="Arial" w:cs="Arial"/>
          <w:color w:val="000000" w:themeColor="text1"/>
          <w:sz w:val="24"/>
          <w:szCs w:val="24"/>
        </w:rPr>
        <w:t xml:space="preserve"> explantes de </w:t>
      </w:r>
      <w:r w:rsidR="007E6D34">
        <w:rPr>
          <w:rFonts w:ascii="Arial" w:hAnsi="Arial" w:cs="Arial"/>
          <w:color w:val="000000" w:themeColor="text1"/>
          <w:sz w:val="24"/>
          <w:szCs w:val="24"/>
        </w:rPr>
        <w:t>cítricos</w:t>
      </w:r>
      <w:r w:rsidRPr="00446FC7">
        <w:rPr>
          <w:rFonts w:ascii="Arial" w:hAnsi="Arial" w:cs="Arial"/>
          <w:color w:val="000000" w:themeColor="text1"/>
          <w:sz w:val="24"/>
          <w:szCs w:val="24"/>
        </w:rPr>
        <w:t xml:space="preserve"> y una vez que éstos se han regenerado</w:t>
      </w:r>
      <w:r w:rsidR="007E6D34">
        <w:rPr>
          <w:rFonts w:ascii="Arial" w:hAnsi="Arial" w:cs="Arial"/>
          <w:color w:val="000000" w:themeColor="text1"/>
          <w:sz w:val="24"/>
          <w:szCs w:val="24"/>
        </w:rPr>
        <w:t>,</w:t>
      </w:r>
      <w:r w:rsidRPr="00446FC7">
        <w:rPr>
          <w:rFonts w:ascii="Arial" w:hAnsi="Arial" w:cs="Arial"/>
          <w:color w:val="000000" w:themeColor="text1"/>
          <w:sz w:val="24"/>
          <w:szCs w:val="24"/>
        </w:rPr>
        <w:t xml:space="preserve"> </w:t>
      </w:r>
      <w:r w:rsidR="007E6D34">
        <w:rPr>
          <w:rFonts w:ascii="Arial" w:hAnsi="Arial" w:cs="Arial"/>
          <w:color w:val="000000" w:themeColor="text1"/>
          <w:sz w:val="24"/>
          <w:szCs w:val="24"/>
        </w:rPr>
        <w:t>se injertan en patrones de cítricos resistentes al virus de la tristeza de los cítricos</w:t>
      </w:r>
      <w:r w:rsidRPr="00446FC7">
        <w:rPr>
          <w:rFonts w:ascii="Arial" w:hAnsi="Arial" w:cs="Arial"/>
          <w:color w:val="000000" w:themeColor="text1"/>
          <w:sz w:val="24"/>
          <w:szCs w:val="24"/>
        </w:rPr>
        <w:t>, lo que permite la obtención de plantas maduras transgénicas expresando la proteína de interés en un tiempo corto.</w:t>
      </w:r>
      <w:r>
        <w:rPr>
          <w:rFonts w:ascii="Arial" w:hAnsi="Arial" w:cs="Arial"/>
          <w:color w:val="000000" w:themeColor="text1"/>
          <w:sz w:val="24"/>
          <w:szCs w:val="24"/>
        </w:rPr>
        <w:t xml:space="preserve"> A continuación se describen los detalles metodológicos.</w:t>
      </w:r>
    </w:p>
    <w:p w:rsidR="00950D0D" w:rsidRPr="00950D0D" w:rsidRDefault="00950D0D" w:rsidP="002A3594">
      <w:pPr>
        <w:spacing w:line="360" w:lineRule="auto"/>
        <w:ind w:right="-93"/>
        <w:jc w:val="both"/>
        <w:rPr>
          <w:rFonts w:ascii="Arial" w:hAnsi="Arial" w:cs="Arial"/>
          <w:color w:val="000000" w:themeColor="text1"/>
          <w:sz w:val="24"/>
          <w:szCs w:val="24"/>
        </w:rPr>
      </w:pPr>
      <w:r w:rsidRPr="00950D0D">
        <w:rPr>
          <w:rFonts w:ascii="Arial" w:hAnsi="Arial" w:cs="Arial"/>
          <w:color w:val="000000" w:themeColor="text1"/>
          <w:sz w:val="24"/>
          <w:szCs w:val="24"/>
        </w:rPr>
        <w:t>Germin</w:t>
      </w:r>
      <w:r w:rsidR="00993075">
        <w:rPr>
          <w:rFonts w:ascii="Arial" w:hAnsi="Arial" w:cs="Arial"/>
          <w:color w:val="000000" w:themeColor="text1"/>
          <w:sz w:val="24"/>
          <w:szCs w:val="24"/>
        </w:rPr>
        <w:t>ación in vitro de cítricos</w:t>
      </w:r>
      <w:r w:rsidRPr="00950D0D">
        <w:rPr>
          <w:rFonts w:ascii="Arial" w:hAnsi="Arial" w:cs="Arial"/>
          <w:color w:val="000000" w:themeColor="text1"/>
          <w:sz w:val="24"/>
          <w:szCs w:val="24"/>
        </w:rPr>
        <w:t>.</w:t>
      </w:r>
    </w:p>
    <w:p w:rsidR="00950D0D" w:rsidRPr="00950D0D" w:rsidRDefault="00950D0D" w:rsidP="002A3594">
      <w:pPr>
        <w:spacing w:line="360" w:lineRule="auto"/>
        <w:ind w:right="-93"/>
        <w:jc w:val="both"/>
        <w:rPr>
          <w:rFonts w:ascii="Arial" w:hAnsi="Arial" w:cs="Arial"/>
          <w:color w:val="000000" w:themeColor="text1"/>
          <w:sz w:val="24"/>
          <w:szCs w:val="24"/>
        </w:rPr>
      </w:pPr>
      <w:r w:rsidRPr="00950D0D">
        <w:rPr>
          <w:rFonts w:ascii="Arial" w:hAnsi="Arial" w:cs="Arial"/>
          <w:color w:val="000000" w:themeColor="text1"/>
          <w:sz w:val="24"/>
          <w:szCs w:val="24"/>
        </w:rPr>
        <w:t>La germinación in vitro de sem</w:t>
      </w:r>
      <w:r w:rsidR="00731EDE">
        <w:rPr>
          <w:rFonts w:ascii="Arial" w:hAnsi="Arial" w:cs="Arial"/>
          <w:color w:val="000000" w:themeColor="text1"/>
          <w:sz w:val="24"/>
          <w:szCs w:val="24"/>
        </w:rPr>
        <w:t>illas de limón mexicano se lleva cabo en tubos de ensayo</w:t>
      </w:r>
      <w:r w:rsidRPr="00950D0D">
        <w:rPr>
          <w:rFonts w:ascii="Arial" w:hAnsi="Arial" w:cs="Arial"/>
          <w:color w:val="000000" w:themeColor="text1"/>
          <w:sz w:val="24"/>
          <w:szCs w:val="24"/>
        </w:rPr>
        <w:t xml:space="preserve"> estériles conteniendo medio de germinación. En la composición del dicho medio se encuentran elementos minerales, agua, hormonas, sustancias orgánicas, vitaminas y sacarosa que propician la germinación de las semillas de limón. La composición de dicho medio se muestra a continuación:</w:t>
      </w:r>
    </w:p>
    <w:p w:rsidR="00950D0D" w:rsidRPr="00731EDE" w:rsidRDefault="00950D0D" w:rsidP="002A3594">
      <w:pPr>
        <w:spacing w:line="360" w:lineRule="auto"/>
        <w:ind w:right="-93"/>
        <w:jc w:val="both"/>
        <w:rPr>
          <w:rFonts w:ascii="Arial" w:hAnsi="Arial" w:cs="Arial"/>
          <w:b/>
          <w:color w:val="000000" w:themeColor="text1"/>
          <w:sz w:val="24"/>
          <w:szCs w:val="24"/>
        </w:rPr>
      </w:pPr>
      <w:r w:rsidRPr="00731EDE">
        <w:rPr>
          <w:rFonts w:ascii="Arial" w:hAnsi="Arial" w:cs="Arial"/>
          <w:b/>
          <w:color w:val="000000" w:themeColor="text1"/>
          <w:sz w:val="24"/>
          <w:szCs w:val="24"/>
        </w:rPr>
        <w:t>Composición medio Murashige- Skoog (MS)</w:t>
      </w:r>
    </w:p>
    <w:p w:rsidR="00950D0D" w:rsidRPr="00950D0D" w:rsidRDefault="00731EDE" w:rsidP="002A3594">
      <w:pPr>
        <w:spacing w:line="360" w:lineRule="auto"/>
        <w:ind w:right="-93"/>
        <w:jc w:val="both"/>
        <w:rPr>
          <w:rFonts w:ascii="Arial" w:hAnsi="Arial" w:cs="Arial"/>
          <w:color w:val="000000" w:themeColor="text1"/>
          <w:sz w:val="24"/>
          <w:szCs w:val="24"/>
        </w:rPr>
      </w:pPr>
      <w:r>
        <w:rPr>
          <w:rFonts w:ascii="Arial" w:hAnsi="Arial" w:cs="Arial"/>
          <w:color w:val="000000" w:themeColor="text1"/>
          <w:sz w:val="24"/>
          <w:szCs w:val="24"/>
        </w:rPr>
        <w:t xml:space="preserve">Solución stock inorgánica (10X): </w:t>
      </w:r>
      <w:r w:rsidR="00950D0D" w:rsidRPr="00950D0D">
        <w:rPr>
          <w:rFonts w:ascii="Arial" w:hAnsi="Arial" w:cs="Arial"/>
          <w:color w:val="000000" w:themeColor="text1"/>
          <w:sz w:val="24"/>
          <w:szCs w:val="24"/>
        </w:rPr>
        <w:t xml:space="preserve">Preparar solución con agua desionizada que contenga: 0.440 g/L de CaCl2·H2O; 1.9 g/L de NO3; 1.65 g/L de NH4NO3; 0.170 g/L de H2PO4; 27.86 mg/L FeSO4·7H2O; 37.25 mg/L de Na2EDTA·2H2O; 16.88 mg/L de MnSO4·H2O; 0.83 mg/L de KI; 8.6 mg/L de ZnSO4·7H2O; 6.2 mg/L </w:t>
      </w:r>
      <w:r w:rsidR="00950D0D" w:rsidRPr="00950D0D">
        <w:rPr>
          <w:rFonts w:ascii="Arial" w:hAnsi="Arial" w:cs="Arial"/>
          <w:color w:val="000000" w:themeColor="text1"/>
          <w:sz w:val="24"/>
          <w:szCs w:val="24"/>
        </w:rPr>
        <w:lastRenderedPageBreak/>
        <w:t>H3BO3; 0.37 g/L de MgSO4·7H2O; 0.025mg/L de CoCl2·6H2O; 0.025 mg/L de CuSO4·5H2O; 0.250 mg/L Na2MoO4·2H2O.</w:t>
      </w:r>
    </w:p>
    <w:p w:rsidR="00950D0D" w:rsidRPr="00950D0D" w:rsidRDefault="00950D0D" w:rsidP="002A3594">
      <w:pPr>
        <w:spacing w:line="360" w:lineRule="auto"/>
        <w:ind w:right="-93"/>
        <w:jc w:val="both"/>
        <w:rPr>
          <w:rFonts w:ascii="Arial" w:hAnsi="Arial" w:cs="Arial"/>
          <w:color w:val="000000" w:themeColor="text1"/>
          <w:sz w:val="24"/>
          <w:szCs w:val="24"/>
        </w:rPr>
      </w:pPr>
      <w:r w:rsidRPr="00950D0D">
        <w:rPr>
          <w:rFonts w:ascii="Arial" w:hAnsi="Arial" w:cs="Arial"/>
          <w:color w:val="000000" w:themeColor="text1"/>
          <w:sz w:val="24"/>
          <w:szCs w:val="24"/>
        </w:rPr>
        <w:t>De esta solución inorgánica se utilizan 100 mL para preparar 1 L de medio de cultivo. Ajustar pH a 5.2. Esterilizar por autoclave</w:t>
      </w:r>
    </w:p>
    <w:p w:rsidR="00950D0D" w:rsidRPr="00950D0D" w:rsidRDefault="00731EDE" w:rsidP="002A3594">
      <w:pPr>
        <w:spacing w:line="360" w:lineRule="auto"/>
        <w:ind w:right="-93"/>
        <w:jc w:val="both"/>
        <w:rPr>
          <w:rFonts w:ascii="Arial" w:hAnsi="Arial" w:cs="Arial"/>
          <w:color w:val="000000" w:themeColor="text1"/>
          <w:sz w:val="24"/>
          <w:szCs w:val="24"/>
        </w:rPr>
      </w:pPr>
      <w:r>
        <w:rPr>
          <w:rFonts w:ascii="Arial" w:hAnsi="Arial" w:cs="Arial"/>
          <w:color w:val="000000" w:themeColor="text1"/>
          <w:sz w:val="24"/>
          <w:szCs w:val="24"/>
        </w:rPr>
        <w:t xml:space="preserve">Solución stock orgánica (100X): </w:t>
      </w:r>
      <w:r w:rsidR="00950D0D" w:rsidRPr="00950D0D">
        <w:rPr>
          <w:rFonts w:ascii="Arial" w:hAnsi="Arial" w:cs="Arial"/>
          <w:color w:val="000000" w:themeColor="text1"/>
          <w:sz w:val="24"/>
          <w:szCs w:val="24"/>
        </w:rPr>
        <w:t>Preparar solución con agua desionizada que contenga: 2.0 mg/L de glicina; 100 mg/L de mioinositol; 0.1 mg/L de Tiamina- HCl; 0.5 mg/L de Piridoxina- HCl; 0.5 mg/L de ácido nicótico.</w:t>
      </w:r>
    </w:p>
    <w:p w:rsidR="00950D0D" w:rsidRPr="00950D0D" w:rsidRDefault="00950D0D" w:rsidP="002A3594">
      <w:pPr>
        <w:spacing w:line="360" w:lineRule="auto"/>
        <w:ind w:right="-93"/>
        <w:jc w:val="both"/>
        <w:rPr>
          <w:rFonts w:ascii="Arial" w:hAnsi="Arial" w:cs="Arial"/>
          <w:color w:val="000000" w:themeColor="text1"/>
          <w:sz w:val="24"/>
          <w:szCs w:val="24"/>
        </w:rPr>
      </w:pPr>
      <w:r w:rsidRPr="00950D0D">
        <w:rPr>
          <w:rFonts w:ascii="Arial" w:hAnsi="Arial" w:cs="Arial"/>
          <w:color w:val="000000" w:themeColor="text1"/>
          <w:sz w:val="24"/>
          <w:szCs w:val="24"/>
        </w:rPr>
        <w:t>De esta solución orgánica se utilizan 10 mL para preparar un litro de medio de cultivo. Esterilizar por filtración.</w:t>
      </w:r>
    </w:p>
    <w:p w:rsidR="00950D0D" w:rsidRPr="00731EDE" w:rsidRDefault="00950D0D" w:rsidP="002A3594">
      <w:pPr>
        <w:spacing w:line="360" w:lineRule="auto"/>
        <w:ind w:right="-93"/>
        <w:jc w:val="both"/>
        <w:rPr>
          <w:rFonts w:ascii="Arial" w:hAnsi="Arial" w:cs="Arial"/>
          <w:b/>
          <w:color w:val="000000" w:themeColor="text1"/>
          <w:sz w:val="24"/>
          <w:szCs w:val="24"/>
        </w:rPr>
      </w:pPr>
      <w:r w:rsidRPr="00731EDE">
        <w:rPr>
          <w:rFonts w:ascii="Arial" w:hAnsi="Arial" w:cs="Arial"/>
          <w:b/>
          <w:color w:val="000000" w:themeColor="text1"/>
          <w:sz w:val="24"/>
          <w:szCs w:val="24"/>
        </w:rPr>
        <w:t>Composición medio para germinar semillas in vitro</w:t>
      </w:r>
    </w:p>
    <w:p w:rsidR="00950D0D" w:rsidRPr="00950D0D" w:rsidRDefault="00950D0D" w:rsidP="002A3594">
      <w:pPr>
        <w:spacing w:line="360" w:lineRule="auto"/>
        <w:ind w:right="-93"/>
        <w:jc w:val="both"/>
        <w:rPr>
          <w:rFonts w:ascii="Arial" w:hAnsi="Arial" w:cs="Arial"/>
          <w:color w:val="000000" w:themeColor="text1"/>
          <w:sz w:val="24"/>
          <w:szCs w:val="24"/>
        </w:rPr>
      </w:pPr>
      <w:r w:rsidRPr="00950D0D">
        <w:rPr>
          <w:rFonts w:ascii="Arial" w:hAnsi="Arial" w:cs="Arial"/>
          <w:color w:val="000000" w:themeColor="text1"/>
          <w:sz w:val="24"/>
          <w:szCs w:val="24"/>
        </w:rPr>
        <w:t>A un litro de Medio MS, agregar: 30</w:t>
      </w:r>
      <w:r w:rsidR="00731EDE">
        <w:rPr>
          <w:rFonts w:ascii="Arial" w:hAnsi="Arial" w:cs="Arial"/>
          <w:color w:val="000000" w:themeColor="text1"/>
          <w:sz w:val="24"/>
          <w:szCs w:val="24"/>
        </w:rPr>
        <w:t xml:space="preserve"> g/L de sacarosa y 2 g/L de gel</w:t>
      </w:r>
      <w:r w:rsidRPr="00950D0D">
        <w:rPr>
          <w:rFonts w:ascii="Arial" w:hAnsi="Arial" w:cs="Arial"/>
          <w:color w:val="000000" w:themeColor="text1"/>
          <w:sz w:val="24"/>
          <w:szCs w:val="24"/>
        </w:rPr>
        <w:t>rite. Esterilizar por autoclave. Vaciar medio en tubos estériles.</w:t>
      </w:r>
    </w:p>
    <w:p w:rsidR="00950D0D" w:rsidRPr="00950D0D" w:rsidRDefault="00950D0D" w:rsidP="002A3594">
      <w:pPr>
        <w:spacing w:line="360" w:lineRule="auto"/>
        <w:ind w:right="-93"/>
        <w:jc w:val="both"/>
        <w:rPr>
          <w:rFonts w:ascii="Arial" w:hAnsi="Arial" w:cs="Arial"/>
          <w:color w:val="000000" w:themeColor="text1"/>
          <w:sz w:val="24"/>
          <w:szCs w:val="24"/>
        </w:rPr>
      </w:pPr>
      <w:r w:rsidRPr="00950D0D">
        <w:rPr>
          <w:rFonts w:ascii="Arial" w:hAnsi="Arial" w:cs="Arial"/>
          <w:color w:val="000000" w:themeColor="text1"/>
          <w:sz w:val="24"/>
          <w:szCs w:val="24"/>
        </w:rPr>
        <w:t>Las semillas de limón son extraídas de frutos sanos</w:t>
      </w:r>
      <w:r w:rsidR="00731EDE">
        <w:rPr>
          <w:rFonts w:ascii="Arial" w:hAnsi="Arial" w:cs="Arial"/>
          <w:color w:val="000000" w:themeColor="text1"/>
          <w:sz w:val="24"/>
          <w:szCs w:val="24"/>
        </w:rPr>
        <w:t xml:space="preserve"> procedentes de plantas certificadas</w:t>
      </w:r>
      <w:r w:rsidRPr="00950D0D">
        <w:rPr>
          <w:rFonts w:ascii="Arial" w:hAnsi="Arial" w:cs="Arial"/>
          <w:color w:val="000000" w:themeColor="text1"/>
          <w:sz w:val="24"/>
          <w:szCs w:val="24"/>
        </w:rPr>
        <w:t>, éstas son esterilizadas con una solución de cloro al 30% por media hora, seguido de tres lavados con agua estéril. La siembra de las semillas se lleva a cabo en condiciones estériles.</w:t>
      </w:r>
    </w:p>
    <w:p w:rsidR="00950D0D" w:rsidRPr="00950D0D" w:rsidRDefault="00950D0D" w:rsidP="002A3594">
      <w:pPr>
        <w:spacing w:line="360" w:lineRule="auto"/>
        <w:ind w:right="-93"/>
        <w:jc w:val="both"/>
        <w:rPr>
          <w:rFonts w:ascii="Arial" w:hAnsi="Arial" w:cs="Arial"/>
          <w:color w:val="000000" w:themeColor="text1"/>
          <w:sz w:val="24"/>
          <w:szCs w:val="24"/>
        </w:rPr>
      </w:pPr>
      <w:r w:rsidRPr="00950D0D">
        <w:rPr>
          <w:rFonts w:ascii="Arial" w:hAnsi="Arial" w:cs="Arial"/>
          <w:color w:val="000000" w:themeColor="text1"/>
          <w:sz w:val="24"/>
          <w:szCs w:val="24"/>
        </w:rPr>
        <w:t>Una vez sembradas las semillas, se incuban a temperatura ambiente en oscuridad por aproximadamente 2-3 semanas. Una vez f</w:t>
      </w:r>
      <w:r w:rsidR="00731EDE">
        <w:rPr>
          <w:rFonts w:ascii="Arial" w:hAnsi="Arial" w:cs="Arial"/>
          <w:color w:val="000000" w:themeColor="text1"/>
          <w:sz w:val="24"/>
          <w:szCs w:val="24"/>
        </w:rPr>
        <w:t>inalizado este tiempo se observa</w:t>
      </w:r>
      <w:r w:rsidRPr="00950D0D">
        <w:rPr>
          <w:rFonts w:ascii="Arial" w:hAnsi="Arial" w:cs="Arial"/>
          <w:color w:val="000000" w:themeColor="text1"/>
          <w:sz w:val="24"/>
          <w:szCs w:val="24"/>
        </w:rPr>
        <w:t xml:space="preserve"> el </w:t>
      </w:r>
      <w:r w:rsidR="00731EDE">
        <w:rPr>
          <w:rFonts w:ascii="Arial" w:hAnsi="Arial" w:cs="Arial"/>
          <w:color w:val="000000" w:themeColor="text1"/>
          <w:sz w:val="24"/>
          <w:szCs w:val="24"/>
        </w:rPr>
        <w:t>brote del cotiledón, y se incuba</w:t>
      </w:r>
      <w:r w:rsidRPr="00950D0D">
        <w:rPr>
          <w:rFonts w:ascii="Arial" w:hAnsi="Arial" w:cs="Arial"/>
          <w:color w:val="000000" w:themeColor="text1"/>
          <w:sz w:val="24"/>
          <w:szCs w:val="24"/>
        </w:rPr>
        <w:t xml:space="preserve"> nuevamente 1 semana a temperatura ambiente, con fotoper</w:t>
      </w:r>
      <w:r w:rsidR="00731EDE">
        <w:rPr>
          <w:rFonts w:ascii="Arial" w:hAnsi="Arial" w:cs="Arial"/>
          <w:color w:val="000000" w:themeColor="text1"/>
          <w:sz w:val="24"/>
          <w:szCs w:val="24"/>
        </w:rPr>
        <w:t>i</w:t>
      </w:r>
      <w:r w:rsidRPr="00950D0D">
        <w:rPr>
          <w:rFonts w:ascii="Arial" w:hAnsi="Arial" w:cs="Arial"/>
          <w:color w:val="000000" w:themeColor="text1"/>
          <w:sz w:val="24"/>
          <w:szCs w:val="24"/>
        </w:rPr>
        <w:t>odo 16 horas luz y 8 h</w:t>
      </w:r>
      <w:r w:rsidR="00731EDE">
        <w:rPr>
          <w:rFonts w:ascii="Arial" w:hAnsi="Arial" w:cs="Arial"/>
          <w:color w:val="000000" w:themeColor="text1"/>
          <w:sz w:val="24"/>
          <w:szCs w:val="24"/>
        </w:rPr>
        <w:t>oras en oscuridad, esto permite</w:t>
      </w:r>
      <w:r w:rsidRPr="00950D0D">
        <w:rPr>
          <w:rFonts w:ascii="Arial" w:hAnsi="Arial" w:cs="Arial"/>
          <w:color w:val="000000" w:themeColor="text1"/>
          <w:sz w:val="24"/>
          <w:szCs w:val="24"/>
        </w:rPr>
        <w:t xml:space="preserve"> </w:t>
      </w:r>
      <w:r w:rsidR="00731EDE">
        <w:rPr>
          <w:rFonts w:ascii="Arial" w:hAnsi="Arial" w:cs="Arial"/>
          <w:color w:val="000000" w:themeColor="text1"/>
          <w:sz w:val="24"/>
          <w:szCs w:val="24"/>
        </w:rPr>
        <w:t xml:space="preserve">el inicio de </w:t>
      </w:r>
      <w:r w:rsidRPr="00950D0D">
        <w:rPr>
          <w:rFonts w:ascii="Arial" w:hAnsi="Arial" w:cs="Arial"/>
          <w:color w:val="000000" w:themeColor="text1"/>
          <w:sz w:val="24"/>
          <w:szCs w:val="24"/>
        </w:rPr>
        <w:t>la actividad fotosin</w:t>
      </w:r>
      <w:r w:rsidR="00731EDE">
        <w:rPr>
          <w:rFonts w:ascii="Arial" w:hAnsi="Arial" w:cs="Arial"/>
          <w:color w:val="000000" w:themeColor="text1"/>
          <w:sz w:val="24"/>
          <w:szCs w:val="24"/>
        </w:rPr>
        <w:t>tética de la planta.</w:t>
      </w:r>
    </w:p>
    <w:p w:rsidR="00950D0D" w:rsidRPr="00950D0D" w:rsidRDefault="00950D0D" w:rsidP="002A3594">
      <w:pPr>
        <w:spacing w:line="360" w:lineRule="auto"/>
        <w:ind w:right="-93"/>
        <w:jc w:val="both"/>
        <w:rPr>
          <w:rFonts w:ascii="Arial" w:hAnsi="Arial" w:cs="Arial"/>
          <w:color w:val="000000" w:themeColor="text1"/>
          <w:sz w:val="24"/>
          <w:szCs w:val="24"/>
        </w:rPr>
      </w:pPr>
      <w:r w:rsidRPr="00950D0D">
        <w:rPr>
          <w:rFonts w:ascii="Arial" w:hAnsi="Arial" w:cs="Arial"/>
          <w:color w:val="000000" w:themeColor="text1"/>
          <w:sz w:val="24"/>
          <w:szCs w:val="24"/>
        </w:rPr>
        <w:t>Las plantas obtenidas de esta manera, fueron utilizadas después para obtener explantes</w:t>
      </w:r>
      <w:r w:rsidR="00731EDE">
        <w:rPr>
          <w:rFonts w:ascii="Arial" w:hAnsi="Arial" w:cs="Arial"/>
          <w:color w:val="000000" w:themeColor="text1"/>
          <w:sz w:val="24"/>
          <w:szCs w:val="24"/>
        </w:rPr>
        <w:t>, los cuales se transformaron</w:t>
      </w:r>
      <w:r w:rsidRPr="00950D0D">
        <w:rPr>
          <w:rFonts w:ascii="Arial" w:hAnsi="Arial" w:cs="Arial"/>
          <w:color w:val="000000" w:themeColor="text1"/>
          <w:sz w:val="24"/>
          <w:szCs w:val="24"/>
        </w:rPr>
        <w:t xml:space="preserve"> por medio de </w:t>
      </w:r>
      <w:r w:rsidRPr="00731EDE">
        <w:rPr>
          <w:rFonts w:ascii="Arial" w:hAnsi="Arial" w:cs="Arial"/>
          <w:i/>
          <w:color w:val="000000" w:themeColor="text1"/>
          <w:sz w:val="24"/>
          <w:szCs w:val="24"/>
        </w:rPr>
        <w:t>Agrobacterium tumefaciens</w:t>
      </w:r>
      <w:r w:rsidRPr="00950D0D">
        <w:rPr>
          <w:rFonts w:ascii="Arial" w:hAnsi="Arial" w:cs="Arial"/>
          <w:color w:val="000000" w:themeColor="text1"/>
          <w:sz w:val="24"/>
          <w:szCs w:val="24"/>
        </w:rPr>
        <w:t xml:space="preserve"> </w:t>
      </w:r>
      <w:r w:rsidR="00731EDE">
        <w:rPr>
          <w:rFonts w:ascii="Arial" w:hAnsi="Arial" w:cs="Arial"/>
          <w:color w:val="000000" w:themeColor="text1"/>
          <w:sz w:val="24"/>
          <w:szCs w:val="24"/>
        </w:rPr>
        <w:t>C58</w:t>
      </w:r>
      <w:r w:rsidRPr="00950D0D">
        <w:rPr>
          <w:rFonts w:ascii="Arial" w:hAnsi="Arial" w:cs="Arial"/>
          <w:color w:val="000000" w:themeColor="text1"/>
          <w:sz w:val="24"/>
          <w:szCs w:val="24"/>
        </w:rPr>
        <w:t xml:space="preserve">y </w:t>
      </w:r>
      <w:r w:rsidRPr="00731EDE">
        <w:rPr>
          <w:rFonts w:ascii="Arial" w:hAnsi="Arial" w:cs="Arial"/>
          <w:i/>
          <w:color w:val="000000" w:themeColor="text1"/>
          <w:sz w:val="24"/>
          <w:szCs w:val="24"/>
        </w:rPr>
        <w:t>Agrobacterium rhizogenes</w:t>
      </w:r>
      <w:r w:rsidRPr="00950D0D">
        <w:rPr>
          <w:rFonts w:ascii="Arial" w:hAnsi="Arial" w:cs="Arial"/>
          <w:color w:val="000000" w:themeColor="text1"/>
          <w:sz w:val="24"/>
          <w:szCs w:val="24"/>
        </w:rPr>
        <w:t xml:space="preserve"> </w:t>
      </w:r>
      <w:r w:rsidR="00731EDE">
        <w:rPr>
          <w:rFonts w:ascii="Arial" w:hAnsi="Arial" w:cs="Arial"/>
          <w:color w:val="000000" w:themeColor="text1"/>
          <w:sz w:val="24"/>
          <w:szCs w:val="24"/>
        </w:rPr>
        <w:t>conteniendo los vectores binarios recombinantes.</w:t>
      </w:r>
    </w:p>
    <w:p w:rsidR="0054574C" w:rsidRPr="0054574C" w:rsidRDefault="0054574C" w:rsidP="002A3594">
      <w:pPr>
        <w:spacing w:line="360" w:lineRule="auto"/>
        <w:ind w:right="-93"/>
        <w:jc w:val="both"/>
        <w:rPr>
          <w:rFonts w:ascii="Arial" w:hAnsi="Arial" w:cs="Arial"/>
          <w:color w:val="000000" w:themeColor="text1"/>
          <w:sz w:val="24"/>
          <w:szCs w:val="24"/>
        </w:rPr>
      </w:pPr>
    </w:p>
    <w:p w:rsidR="00D35796" w:rsidRPr="00715B08" w:rsidRDefault="00560BB1" w:rsidP="002A3594">
      <w:pPr>
        <w:spacing w:line="360" w:lineRule="auto"/>
        <w:ind w:right="-93"/>
        <w:jc w:val="both"/>
        <w:rPr>
          <w:rFonts w:ascii="Arial" w:hAnsi="Arial" w:cs="Arial"/>
          <w:b/>
          <w:sz w:val="24"/>
          <w:szCs w:val="24"/>
        </w:rPr>
      </w:pPr>
      <w:r>
        <w:rPr>
          <w:rFonts w:ascii="Arial" w:hAnsi="Arial" w:cs="Arial"/>
          <w:b/>
          <w:sz w:val="24"/>
          <w:szCs w:val="24"/>
        </w:rPr>
        <w:t xml:space="preserve">I. t </w:t>
      </w:r>
      <w:r w:rsidR="00D35796" w:rsidRPr="00715B08">
        <w:rPr>
          <w:rFonts w:ascii="Arial" w:hAnsi="Arial" w:cs="Arial"/>
          <w:b/>
          <w:sz w:val="24"/>
          <w:szCs w:val="24"/>
        </w:rPr>
        <w:t>Referencias bibliográficas sobre los datos presentados.</w:t>
      </w:r>
    </w:p>
    <w:p w:rsidR="0054574C" w:rsidRPr="00A36379"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rPr>
        <w:lastRenderedPageBreak/>
        <w:t>Agostini, J.P. (2011). Cítricos: El HLB y su prevención. Revista de Investigaciones Agropecuarias. Bue</w:t>
      </w:r>
      <w:r>
        <w:rPr>
          <w:rFonts w:ascii="Arial" w:hAnsi="Arial" w:cs="Arial"/>
          <w:color w:val="000000" w:themeColor="text1"/>
          <w:sz w:val="24"/>
          <w:szCs w:val="24"/>
        </w:rPr>
        <w:t xml:space="preserve">nos Aíres, Argentina. </w:t>
      </w:r>
      <w:r w:rsidRPr="0054574C">
        <w:rPr>
          <w:rFonts w:ascii="Arial" w:hAnsi="Arial" w:cs="Arial"/>
          <w:color w:val="000000" w:themeColor="text1"/>
          <w:sz w:val="24"/>
          <w:szCs w:val="24"/>
        </w:rPr>
        <w:t xml:space="preserve"> </w:t>
      </w:r>
      <w:r w:rsidRPr="00A36379">
        <w:rPr>
          <w:rFonts w:ascii="Arial" w:hAnsi="Arial" w:cs="Arial"/>
          <w:color w:val="000000" w:themeColor="text1"/>
          <w:sz w:val="24"/>
          <w:szCs w:val="24"/>
          <w:lang w:val="en-US"/>
        </w:rPr>
        <w:t>http://ria.inta.gov.ar/?p=677, consultada en mayo 2014.</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Almon E., Horowitz M., Wang H.L., Lucas W.J., Zamski E., Wolf S. (1997) Phloem-specific expression of the tobacco mosaic virus movement protein alters carbon metabolism and partitioning in transgenic potato plants. Plant Physiol 115:1599–1607</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Benkerroum N. (2008) Review: Antimicrobial activity of lysozyme with special relevance to milk. African Journal of Biotechnology 7: 4856-4867</w:t>
      </w:r>
    </w:p>
    <w:p w:rsidR="0054574C" w:rsidRPr="0054574C" w:rsidRDefault="0054574C" w:rsidP="002A3594">
      <w:pPr>
        <w:spacing w:line="360" w:lineRule="auto"/>
        <w:ind w:right="-93"/>
        <w:jc w:val="both"/>
        <w:rPr>
          <w:rFonts w:ascii="Arial" w:hAnsi="Arial" w:cs="Arial"/>
          <w:color w:val="000000" w:themeColor="text1"/>
          <w:sz w:val="24"/>
          <w:szCs w:val="24"/>
          <w:lang w:val="fr-FR"/>
        </w:rPr>
      </w:pPr>
      <w:r w:rsidRPr="0054574C">
        <w:rPr>
          <w:rFonts w:ascii="Arial" w:hAnsi="Arial" w:cs="Arial"/>
          <w:color w:val="000000" w:themeColor="text1"/>
          <w:sz w:val="24"/>
          <w:szCs w:val="24"/>
          <w:lang w:val="en-US"/>
        </w:rPr>
        <w:t xml:space="preserve">Botha C.E.J., Cross R.H.M., van Bel A.J.E, Peter C.I. (2000) Phloem loading in the sucrose-export-defective (SXD-1) mutant maizeis limited by callose deposition at plasmodesmata in bundle sheath–vascular parenchyma interface. </w:t>
      </w:r>
      <w:r w:rsidRPr="0054574C">
        <w:rPr>
          <w:rFonts w:ascii="Arial" w:hAnsi="Arial" w:cs="Arial"/>
          <w:color w:val="000000" w:themeColor="text1"/>
          <w:sz w:val="24"/>
          <w:szCs w:val="24"/>
          <w:lang w:val="fr-FR"/>
        </w:rPr>
        <w:t>Protoplasma 214:65–72</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fr-FR"/>
        </w:rPr>
        <w:t xml:space="preserve">Bové J.M., Bonnet P., Garnier M., Aubert B. (1980). </w:t>
      </w:r>
      <w:r w:rsidRPr="0054574C">
        <w:rPr>
          <w:rFonts w:ascii="Arial" w:hAnsi="Arial" w:cs="Arial"/>
          <w:color w:val="000000" w:themeColor="text1"/>
          <w:sz w:val="24"/>
          <w:szCs w:val="24"/>
          <w:lang w:val="en-US"/>
        </w:rPr>
        <w:t>Penicillin and tetracycline treatments of greening disease-affected citrus plants in the glasshouse, and the bacterial nature of the procaryote associated with greening. Proceedings of 8th Conference IOCV, IOCV Riverside 1980, 91-102.</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Bové, J. M. (2006). Huanglongbing: a destructive, newly-emerging, century-old disease of citrus. Journal of Plant Pathology 88: 7-37.</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Callewaert L., &amp; Michiels C.W. (2010) Lysozymes in the animal kingdom; J. Biosci. 35:127–160</w:t>
      </w:r>
      <w:r>
        <w:rPr>
          <w:rFonts w:ascii="Arial" w:hAnsi="Arial" w:cs="Arial"/>
          <w:color w:val="000000" w:themeColor="text1"/>
          <w:sz w:val="24"/>
          <w:szCs w:val="24"/>
          <w:lang w:val="en-US"/>
        </w:rPr>
        <w:t>.</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Camas, A., Cárdenas, L., Quinto, C., Lara, M. (2002) Expression of Different Calmodulin Genes in Bean (Phaseolus vulgaris L.): Role of Nod Factor on Calmodulin Gene Regulation. Molecular Plant-Microbe Interactions. 15:428–436.</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Cervera, M., José, J., Navarro, A., José, A., Pina, J.A., Navarro, L., Peña, L. (1998) Genetic transformation and regeneration of mature tissue of woody fruit plants bypassing the juvenile stage. Transgenic Res. 7: 51–59.</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lastRenderedPageBreak/>
        <w:t>Cervera, M., José, J., Navarro, L., Peña, L. (2004) Genetic transformation of mature citrus plants. M</w:t>
      </w:r>
      <w:r>
        <w:rPr>
          <w:rFonts w:ascii="Arial" w:hAnsi="Arial" w:cs="Arial"/>
          <w:color w:val="000000" w:themeColor="text1"/>
          <w:sz w:val="24"/>
          <w:szCs w:val="24"/>
          <w:lang w:val="en-US"/>
        </w:rPr>
        <w:t>ethods Mol. Biol. 286: 177–187.</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 xml:space="preserve">Coca M., Peñas G., Gómez J., Campo S., Bortolotti C., Messeguer J., Segundo B.S. (2006) Enhanced resistance to the rice blast fungus Magnaporthe grisea conferred by expression of a cecropin A gene in transgenic rice. </w:t>
      </w:r>
      <w:r w:rsidRPr="0054574C">
        <w:rPr>
          <w:rFonts w:ascii="Arial" w:hAnsi="Arial" w:cs="Arial"/>
          <w:color w:val="000000" w:themeColor="text1"/>
          <w:sz w:val="24"/>
          <w:szCs w:val="24"/>
        </w:rPr>
        <w:t>Planta 223: 392–406.</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Codon Usage Database http://www.kazusa.or.jp/codon/.</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 xml:space="preserve">Coletta-Filho H. D., Targon M. L. P. N., Takita M. A., De Negri J. D., Pompeu J., Jr, Machado M. A., Amaral A. M. &amp; Muller G. W. (2004). </w:t>
      </w:r>
      <w:r w:rsidRPr="0054574C">
        <w:rPr>
          <w:rFonts w:ascii="Arial" w:hAnsi="Arial" w:cs="Arial"/>
          <w:color w:val="000000" w:themeColor="text1"/>
          <w:sz w:val="24"/>
          <w:szCs w:val="24"/>
          <w:lang w:val="en-US"/>
        </w:rPr>
        <w:t xml:space="preserve">First report of the causal agent of huanglongbing (Candidatus Liberibacter asiaticus) in Brazil. </w:t>
      </w:r>
      <w:r w:rsidRPr="0054574C">
        <w:rPr>
          <w:rFonts w:ascii="Arial" w:hAnsi="Arial" w:cs="Arial"/>
          <w:color w:val="000000" w:themeColor="text1"/>
          <w:sz w:val="24"/>
          <w:szCs w:val="24"/>
        </w:rPr>
        <w:t>Plant Dis 88,1382.</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Crang R., y Vassilyev A. Plant Anatomy. Libro electrónico, consultado en mayo 2013 en: http://www.cls.zju.edu.cn/sub/fulab/plant_Antomy/plant/index.html</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 xml:space="preserve">da Graca J. V. and Korsten L. (2004) Citrus Huanglongbing: Review, Present </w:t>
      </w:r>
      <w:r w:rsidR="00440F20">
        <w:rPr>
          <w:rFonts w:ascii="Arial" w:hAnsi="Arial" w:cs="Arial"/>
          <w:color w:val="000000" w:themeColor="text1"/>
          <w:sz w:val="24"/>
          <w:szCs w:val="24"/>
          <w:lang w:val="en-US"/>
        </w:rPr>
        <w:t>S</w:t>
      </w:r>
      <w:r w:rsidRPr="0054574C">
        <w:rPr>
          <w:rFonts w:ascii="Arial" w:hAnsi="Arial" w:cs="Arial"/>
          <w:color w:val="000000" w:themeColor="text1"/>
          <w:sz w:val="24"/>
          <w:szCs w:val="24"/>
          <w:lang w:val="en-US"/>
        </w:rPr>
        <w:t>tatus and Future Strategies. Diseases of fruit and Vegetables 1: 229-245.</w:t>
      </w:r>
    </w:p>
    <w:p w:rsidR="00440F20"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 xml:space="preserve">da Graça, J.V. Biology, history and world status of Huanglongbing. </w:t>
      </w:r>
      <w:r w:rsidRPr="0054574C">
        <w:rPr>
          <w:rFonts w:ascii="Arial" w:hAnsi="Arial" w:cs="Arial"/>
          <w:color w:val="000000" w:themeColor="text1"/>
          <w:sz w:val="24"/>
          <w:szCs w:val="24"/>
        </w:rPr>
        <w:t>(2008) Resumen I Taller Internacional sobre Huanglongbing de los cítricos (</w:t>
      </w:r>
      <w:r w:rsidRPr="00440F20">
        <w:rPr>
          <w:rFonts w:ascii="Arial" w:hAnsi="Arial" w:cs="Arial"/>
          <w:i/>
          <w:color w:val="000000" w:themeColor="text1"/>
          <w:sz w:val="24"/>
          <w:szCs w:val="24"/>
        </w:rPr>
        <w:t>Candidatus</w:t>
      </w:r>
      <w:r w:rsidRPr="0054574C">
        <w:rPr>
          <w:rFonts w:ascii="Arial" w:hAnsi="Arial" w:cs="Arial"/>
          <w:color w:val="000000" w:themeColor="text1"/>
          <w:sz w:val="24"/>
          <w:szCs w:val="24"/>
        </w:rPr>
        <w:t xml:space="preserve"> Liberibacter spp) y el psílido asiático de los cítricos (</w:t>
      </w:r>
      <w:r w:rsidRPr="00440F20">
        <w:rPr>
          <w:rFonts w:ascii="Arial" w:hAnsi="Arial" w:cs="Arial"/>
          <w:i/>
          <w:color w:val="000000" w:themeColor="text1"/>
          <w:sz w:val="24"/>
          <w:szCs w:val="24"/>
        </w:rPr>
        <w:t>Diaphorina citri</w:t>
      </w:r>
      <w:r w:rsidRPr="0054574C">
        <w:rPr>
          <w:rFonts w:ascii="Arial" w:hAnsi="Arial" w:cs="Arial"/>
          <w:color w:val="000000" w:themeColor="text1"/>
          <w:sz w:val="24"/>
          <w:szCs w:val="24"/>
        </w:rPr>
        <w:t xml:space="preserve">). </w:t>
      </w:r>
      <w:r w:rsidR="00440F20">
        <w:rPr>
          <w:rFonts w:ascii="Arial" w:hAnsi="Arial" w:cs="Arial"/>
          <w:color w:val="000000" w:themeColor="text1"/>
          <w:sz w:val="24"/>
          <w:szCs w:val="24"/>
        </w:rPr>
        <w:t xml:space="preserve">Hermosillo, Sonora. México </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Distribución de Huanglongbing (HLB) en México. Fuente: Original con datos de SENASICA. Consultado en mayo 2013 en: http://www.senasica.gob.mx/?id=4608</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Doddapaneni H., Liao H., Lin H., Bai X., Zhao X., Civerolo E. L., Irey M., Coletta-Filho H., &amp; Pietersen G. (2008) Comparative phylogenomics and multi-gene cluster analyses of the Citrus huanglongbing (HLB)-associated bacterium Candidatus Liberibacter. BMC Res. Notes 1:72.</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Drake G.A., Carr D.J., Anderson W.P. (1978) Plasmolysis, plasmodesmata, and electrical coupling of oat coleoptile cells. J Exp Bot 29:1205–1214</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lastRenderedPageBreak/>
        <w:t>Duan Y., Zhou L., Hall D.G., Li W., Doddapaneni H., Lin H., Liu L., Vahling C.M., Gabriel D.W., Williams K.P., Dickerman A., Sun Y., Gottwald T. (2009) Complete Genome Sequence of Citrus Huanglongbing Bacterium, ‘Candidatus Liberibacter asiaticus’ Obtained Through Metagenomics. The American Phyto-pathological Society. 22:1011–1020.</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Düring K., Porsch P., Fladung M., Lörz H. (1993) Transgenic potato plants resistant to the phytotopathogenic bacterium Erwinia carotovora. The plant Journal 4: 587- 598</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Düring K. (1996) Mini-review: Genetic engineering for resistance to bacteria in transgenic plants by introduction of foreign genes Molecular Breeding 2: 297-305 Esau K., Cheadle V.I. &amp; Gifford E.M. (1953) Comparative structure and possible trends of specialization of the phloem. Amer.J.Bot. 40: 9-19.</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Etxeberria E., Gonzalez P., Achor D., Albrigo G. (2009) Anatomical distribution of abnormally high levels of starch in HLB-affected Valencia orange trees. Physiological and Molecular Plant Pathology 74: 76–83</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Febres V., Fisher L., Khalaf A., &amp; Moore G.A. Citrus transformation: Challenges and prospects. Horticultural Sciences Department, Plant Molecular and Cellular Biology Program, University of Flori</w:t>
      </w:r>
      <w:r w:rsidR="00440F20">
        <w:rPr>
          <w:rFonts w:ascii="Arial" w:hAnsi="Arial" w:cs="Arial"/>
          <w:color w:val="000000" w:themeColor="text1"/>
          <w:sz w:val="24"/>
          <w:szCs w:val="24"/>
          <w:lang w:val="en-US"/>
        </w:rPr>
        <w:t>da USA. Consultado en abril 2013</w:t>
      </w:r>
      <w:r w:rsidRPr="0054574C">
        <w:rPr>
          <w:rFonts w:ascii="Arial" w:hAnsi="Arial" w:cs="Arial"/>
          <w:color w:val="000000" w:themeColor="text1"/>
          <w:sz w:val="24"/>
          <w:szCs w:val="24"/>
          <w:lang w:val="en-US"/>
        </w:rPr>
        <w:t xml:space="preserve"> en: http://cdn.intechopen.com/pdfs/18815/InTech-citrus_transformation_challenges_and_prospects.pdf 22 mayo 2013 Food And Agriculture Organization Of The United Nations. Commodities by country, countries by commodities, top rank in the world, by commodities, año 2013. </w:t>
      </w:r>
      <w:r w:rsidRPr="0054574C">
        <w:rPr>
          <w:rFonts w:ascii="Arial" w:hAnsi="Arial" w:cs="Arial"/>
          <w:color w:val="000000" w:themeColor="text1"/>
          <w:sz w:val="24"/>
          <w:szCs w:val="24"/>
        </w:rPr>
        <w:t>Consultado el 08 de mayo de 2013 en: http://faostat.fao.org/site/339/default.aspx</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Fundecitrus. 2009. Manual técnico de Greening. Folleto técnico. Brasil. 12 pp. Gao A.G , Hakimi S.M., Mittanck C.A., Wu Y., Woerner B.M., Stark D.M., Shah D.M., Liang J, Rommens C.M. (2000) Fungal pathogen protection in potato by expression of a plant defensin peptide. Nat. Biotechnol. 18:1307–1310</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lastRenderedPageBreak/>
        <w:t>García- Darderes C. (2009). Diaphorina citri Kuwayama (Hemíptera: Psyllidae), vector de la bacteria que Causa el Huanglongbing (HLB – Greening). Ministerio de la Producción Secretaría de Agricultura, Ganadería, Pesca y Alimentación Servicio Nacional de Sanidad y Calidad Agroalimentaria Buenos Aires, Argentina.</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fr-FR"/>
        </w:rPr>
        <w:t xml:space="preserve">Garnier M., Bové J.M. (1977) Structure trilamellaire des deux membranes qui entourent les organismes procaryotes associés à la maladie du “greening” des agrumes. </w:t>
      </w:r>
      <w:r w:rsidRPr="0054574C">
        <w:rPr>
          <w:rFonts w:ascii="Arial" w:hAnsi="Arial" w:cs="Arial"/>
          <w:color w:val="000000" w:themeColor="text1"/>
          <w:sz w:val="24"/>
          <w:szCs w:val="24"/>
          <w:lang w:val="en-US"/>
        </w:rPr>
        <w:t>Fruits 32:749-752.</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Garnier M., Danel N., Bové J.M. (1984a). Aetiology of Citrus Greening Disease. Ann. Microbiology. (Inst. Pasteur) 135A: 169-179.</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206690">
        <w:rPr>
          <w:rFonts w:ascii="Arial" w:hAnsi="Arial" w:cs="Arial"/>
          <w:color w:val="000000" w:themeColor="text1"/>
          <w:sz w:val="24"/>
          <w:szCs w:val="24"/>
          <w:lang w:val="fr-FR"/>
        </w:rPr>
        <w:t xml:space="preserve">Garnier, M., Danel, N., Bové, J.M. (1984b). </w:t>
      </w:r>
      <w:r w:rsidRPr="0054574C">
        <w:rPr>
          <w:rFonts w:ascii="Arial" w:hAnsi="Arial" w:cs="Arial"/>
          <w:color w:val="000000" w:themeColor="text1"/>
          <w:sz w:val="24"/>
          <w:szCs w:val="24"/>
          <w:lang w:val="en-US"/>
        </w:rPr>
        <w:t>The greening organism is a Gram negative bacterium. Proc 9th Conf. IOCV, 115-124, IOCV, Univ. Calif.,Riverside, CA.</w:t>
      </w:r>
    </w:p>
    <w:p w:rsidR="0054574C" w:rsidRPr="0054574C" w:rsidRDefault="0054574C" w:rsidP="002A3594">
      <w:pPr>
        <w:spacing w:line="360" w:lineRule="auto"/>
        <w:ind w:right="-93"/>
        <w:jc w:val="both"/>
        <w:rPr>
          <w:rFonts w:ascii="Arial" w:hAnsi="Arial" w:cs="Arial"/>
          <w:color w:val="000000" w:themeColor="text1"/>
          <w:sz w:val="24"/>
          <w:szCs w:val="24"/>
        </w:rPr>
      </w:pPr>
      <w:r w:rsidRPr="00984B01">
        <w:rPr>
          <w:rFonts w:ascii="Arial" w:hAnsi="Arial" w:cs="Arial"/>
          <w:color w:val="000000" w:themeColor="text1"/>
          <w:sz w:val="24"/>
          <w:szCs w:val="24"/>
          <w:lang w:val="en-US"/>
        </w:rPr>
        <w:t xml:space="preserve">GenBank Database. </w:t>
      </w:r>
      <w:r w:rsidRPr="0054574C">
        <w:rPr>
          <w:rFonts w:ascii="Arial" w:hAnsi="Arial" w:cs="Arial"/>
          <w:color w:val="000000" w:themeColor="text1"/>
          <w:sz w:val="24"/>
          <w:szCs w:val="24"/>
        </w:rPr>
        <w:t>Consultado en abril 2012 en: www.ncbi.nlm.nih.gov/genbank/</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Gottwald T.R., da Graça J.V., Bassanezi R.B. (2007) Citrus huanglongbing: The pathogen, its epidemiology, and impact. Plant Healthy Progress doi:10.1094/PHP-2007-0906-01-RV. Grafton-Cardwell E., Godfrey K.E., Rogers M.E., Childers C., Stansly P.A. (2006) Asian Citrus Psyllid. Publication 8205. University of California-Riverside. Division of Agriculture and Natural Division.</w:t>
      </w:r>
    </w:p>
    <w:p w:rsidR="0054574C" w:rsidRPr="0054574C" w:rsidRDefault="0054574C" w:rsidP="002A3594">
      <w:pPr>
        <w:spacing w:before="240"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Gurr S.J. &amp; Rushton P.J. (2005) Engineering plants with increased disease resistance: what are we going to express? TRENDS in Biotechnology 23: 275-282 Halbert S.E. &amp; K.L. Manjunath. (2004) Asian citrus psyllids (Sternorrhyncha: Psyllidae) and greening disease of citrus: A literature review and assessment of risk in Florida. Florida Entomologist 87(3): 330</w:t>
      </w:r>
      <w:r w:rsidRPr="0054574C">
        <w:rPr>
          <w:rFonts w:ascii="Cambria Math" w:hAnsi="Cambria Math" w:cs="Cambria Math"/>
          <w:color w:val="000000" w:themeColor="text1"/>
          <w:sz w:val="24"/>
          <w:szCs w:val="24"/>
          <w:lang w:val="en-US"/>
        </w:rPr>
        <w:t>‐</w:t>
      </w:r>
      <w:r w:rsidRPr="0054574C">
        <w:rPr>
          <w:rFonts w:ascii="Arial" w:hAnsi="Arial" w:cs="Arial"/>
          <w:color w:val="000000" w:themeColor="text1"/>
          <w:sz w:val="24"/>
          <w:szCs w:val="24"/>
          <w:lang w:val="en-US"/>
        </w:rPr>
        <w:t>353.</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 xml:space="preserve">Haywood V., Yu T. S., Huang N. C. &amp; Lucas, W. J. (2005) Phloem long-distance trafficking of gibberellic acid insensitive RNA regulates leaf development. </w:t>
      </w:r>
      <w:r w:rsidRPr="0054574C">
        <w:rPr>
          <w:rFonts w:ascii="Arial" w:hAnsi="Arial" w:cs="Arial"/>
          <w:color w:val="000000" w:themeColor="text1"/>
          <w:sz w:val="24"/>
          <w:szCs w:val="24"/>
        </w:rPr>
        <w:t>Plant J 42: 49-68</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lastRenderedPageBreak/>
        <w:t>Informe de la Dirección General de Sanidad Vegetal y Sistemas de Alerta Fitosanitaria de la NAPPO (2008).</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 xml:space="preserve">International Organization of Citrus Virologist. </w:t>
      </w:r>
      <w:r w:rsidRPr="0054574C">
        <w:rPr>
          <w:rFonts w:ascii="Arial" w:hAnsi="Arial" w:cs="Arial"/>
          <w:color w:val="000000" w:themeColor="text1"/>
          <w:sz w:val="24"/>
          <w:szCs w:val="24"/>
        </w:rPr>
        <w:t>Consultada en mayo 2013 en: http://www.ivia.es/iocv/</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 xml:space="preserve">Jagoueix S., Bové J.M., Garnier M. (1994) The phloem-limited bacterium of greening disease of citrus is a member of the </w:t>
      </w:r>
      <w:r w:rsidRPr="0054574C">
        <w:rPr>
          <w:rFonts w:ascii="Arial" w:hAnsi="Arial" w:cs="Arial"/>
          <w:color w:val="000000" w:themeColor="text1"/>
          <w:sz w:val="24"/>
          <w:szCs w:val="24"/>
        </w:rPr>
        <w:t>α</w:t>
      </w:r>
      <w:r w:rsidRPr="0054574C">
        <w:rPr>
          <w:rFonts w:ascii="Arial" w:hAnsi="Arial" w:cs="Arial"/>
          <w:color w:val="000000" w:themeColor="text1"/>
          <w:sz w:val="24"/>
          <w:szCs w:val="24"/>
          <w:lang w:val="en-US"/>
        </w:rPr>
        <w:t>-subdivision of the Proteobacteria. International Journal of Systematic Bacteriology 44: 397-386.</w:t>
      </w:r>
    </w:p>
    <w:p w:rsidR="0054574C" w:rsidRPr="00A36379" w:rsidRDefault="0054574C" w:rsidP="002A3594">
      <w:pPr>
        <w:spacing w:line="360" w:lineRule="auto"/>
        <w:ind w:right="-93"/>
        <w:jc w:val="both"/>
        <w:rPr>
          <w:rFonts w:ascii="Arial" w:hAnsi="Arial" w:cs="Arial"/>
          <w:color w:val="000000" w:themeColor="text1"/>
          <w:sz w:val="24"/>
          <w:szCs w:val="24"/>
          <w:lang w:val="fr-FR"/>
        </w:rPr>
      </w:pPr>
      <w:r w:rsidRPr="0054574C">
        <w:rPr>
          <w:rFonts w:ascii="Arial" w:hAnsi="Arial" w:cs="Arial"/>
          <w:color w:val="000000" w:themeColor="text1"/>
          <w:sz w:val="24"/>
          <w:szCs w:val="24"/>
          <w:lang w:val="en-US"/>
        </w:rPr>
        <w:t>Koh E.J., Zhou L., Williams D.S., Park J., Ding N., Duan Y.P., Kang B.H. (2011). Callose deposition in the phloem plasmodesmata and inhibition of ph</w:t>
      </w:r>
      <w:r>
        <w:rPr>
          <w:rFonts w:ascii="Arial" w:hAnsi="Arial" w:cs="Arial"/>
          <w:color w:val="000000" w:themeColor="text1"/>
          <w:sz w:val="24"/>
          <w:szCs w:val="24"/>
          <w:lang w:val="en-US"/>
        </w:rPr>
        <w:t xml:space="preserve">loem transport in citrus leaves </w:t>
      </w:r>
      <w:r w:rsidRPr="0054574C">
        <w:rPr>
          <w:rFonts w:ascii="Arial" w:hAnsi="Arial" w:cs="Arial"/>
          <w:color w:val="000000" w:themeColor="text1"/>
          <w:sz w:val="24"/>
          <w:szCs w:val="24"/>
          <w:lang w:val="en-US"/>
        </w:rPr>
        <w:t>infected with "</w:t>
      </w:r>
      <w:r w:rsidRPr="00440F20">
        <w:rPr>
          <w:rFonts w:ascii="Arial" w:hAnsi="Arial" w:cs="Arial"/>
          <w:i/>
          <w:color w:val="000000" w:themeColor="text1"/>
          <w:sz w:val="24"/>
          <w:szCs w:val="24"/>
          <w:lang w:val="en-US"/>
        </w:rPr>
        <w:t>Candidatus</w:t>
      </w:r>
      <w:r w:rsidRPr="0054574C">
        <w:rPr>
          <w:rFonts w:ascii="Arial" w:hAnsi="Arial" w:cs="Arial"/>
          <w:color w:val="000000" w:themeColor="text1"/>
          <w:sz w:val="24"/>
          <w:szCs w:val="24"/>
          <w:lang w:val="en-US"/>
        </w:rPr>
        <w:t xml:space="preserve"> Liberibacter asiaticus". </w:t>
      </w:r>
      <w:r w:rsidRPr="0054574C">
        <w:rPr>
          <w:rFonts w:ascii="Arial" w:hAnsi="Arial" w:cs="Arial"/>
          <w:color w:val="000000" w:themeColor="text1"/>
          <w:sz w:val="24"/>
          <w:szCs w:val="24"/>
          <w:lang w:val="fr-FR"/>
        </w:rPr>
        <w:t>Protoplasma (publicado electrónicamente) PMID: 21874517.</w:t>
      </w:r>
    </w:p>
    <w:p w:rsidR="0054574C" w:rsidRPr="0054574C" w:rsidRDefault="0054574C" w:rsidP="002A3594">
      <w:pPr>
        <w:spacing w:line="360" w:lineRule="auto"/>
        <w:ind w:right="-93"/>
        <w:jc w:val="both"/>
        <w:rPr>
          <w:rFonts w:ascii="Arial" w:hAnsi="Arial" w:cs="Arial"/>
          <w:color w:val="000000" w:themeColor="text1"/>
          <w:sz w:val="24"/>
          <w:szCs w:val="24"/>
          <w:lang w:val="fr-FR"/>
        </w:rPr>
      </w:pPr>
      <w:r w:rsidRPr="0054574C">
        <w:rPr>
          <w:rFonts w:ascii="Arial" w:hAnsi="Arial" w:cs="Arial"/>
          <w:color w:val="000000" w:themeColor="text1"/>
          <w:sz w:val="24"/>
          <w:szCs w:val="24"/>
          <w:lang w:val="fr-FR"/>
        </w:rPr>
        <w:t>Laflèche D., Bové J.M. (1970a) Structures de type mycoplasme dans les feuilles d’orangers atteints de la maladie du greening. Comptes Rendus de l’Académie des Sciences,Paris, 270: 1915-1917.</w:t>
      </w:r>
    </w:p>
    <w:p w:rsid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fr-FR"/>
        </w:rPr>
        <w:t xml:space="preserve">Laflèche D., Bové J.M. (1970b) Mycoplasmes dans les agrumes atteints de “greening”, de “stubborn” ou de maladies similaires. </w:t>
      </w:r>
      <w:r w:rsidRPr="0054574C">
        <w:rPr>
          <w:rFonts w:ascii="Arial" w:hAnsi="Arial" w:cs="Arial"/>
          <w:color w:val="000000" w:themeColor="text1"/>
          <w:sz w:val="24"/>
          <w:szCs w:val="24"/>
          <w:lang w:val="en-US"/>
        </w:rPr>
        <w:t xml:space="preserve">Fruits 25: 455-465. Lee, H. A. (1921) The relation of stocks to mottled leaf of citrus leaves. Phil. J. Sci. 18: 85-95. </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Lin, C. K. (1956) Observations on yellow shoot on citrus. Acta Phytophylact. Sin. 2: 237-242. Lin, K.H. (1956) Yellow shoot of citrus.Symptomatology. Investigations in the cause of huanglon</w:t>
      </w:r>
      <w:r>
        <w:rPr>
          <w:rFonts w:ascii="Arial" w:hAnsi="Arial" w:cs="Arial"/>
          <w:color w:val="000000" w:themeColor="text1"/>
          <w:sz w:val="24"/>
          <w:szCs w:val="24"/>
          <w:lang w:val="en-US"/>
        </w:rPr>
        <w:t>g</w:t>
      </w:r>
      <w:r w:rsidRPr="0054574C">
        <w:rPr>
          <w:rFonts w:ascii="Arial" w:hAnsi="Arial" w:cs="Arial"/>
          <w:color w:val="000000" w:themeColor="text1"/>
          <w:sz w:val="24"/>
          <w:szCs w:val="24"/>
          <w:lang w:val="en-US"/>
        </w:rPr>
        <w:t>bing. Natural transmission and spread. General conclusions. Acta Phytopathologica Sinica 2:1</w:t>
      </w:r>
      <w:r w:rsidRPr="0054574C">
        <w:rPr>
          <w:rFonts w:ascii="Cambria Math" w:hAnsi="Cambria Math" w:cs="Cambria Math"/>
          <w:color w:val="000000" w:themeColor="text1"/>
          <w:sz w:val="24"/>
          <w:szCs w:val="24"/>
          <w:lang w:val="en-US"/>
        </w:rPr>
        <w:t>‐</w:t>
      </w:r>
      <w:r w:rsidRPr="0054574C">
        <w:rPr>
          <w:rFonts w:ascii="Arial" w:hAnsi="Arial" w:cs="Arial"/>
          <w:color w:val="000000" w:themeColor="text1"/>
          <w:sz w:val="24"/>
          <w:szCs w:val="24"/>
          <w:lang w:val="en-US"/>
        </w:rPr>
        <w:t>42</w:t>
      </w:r>
    </w:p>
    <w:p w:rsid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 xml:space="preserve">Lin M.K., Belanger H., Lee Y.J., Varkonyi-Gasic E., Taoka K., Miura E., Xoconostle-Cázares B., Gendler K., Jorgensen R.A., Phinney B., Lough T.J., Lucas W.J. (2007) FLOWERING LOCUS T protein may act as the long-distance florigenic signal in the cucurbits. </w:t>
      </w:r>
      <w:r w:rsidRPr="0054574C">
        <w:rPr>
          <w:rFonts w:ascii="Arial" w:hAnsi="Arial" w:cs="Arial"/>
          <w:color w:val="000000" w:themeColor="text1"/>
          <w:sz w:val="24"/>
          <w:szCs w:val="24"/>
        </w:rPr>
        <w:t xml:space="preserve">Plant Cell 19: 1488-1506. </w:t>
      </w:r>
    </w:p>
    <w:p w:rsid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 xml:space="preserve">López-Collado, J. (2013) Manejo de la enfermedad Huanglongbing (HLB) mediante el control de poblaciones del vector Diaphorina citri (Hemiptera: Psyllidae), el </w:t>
      </w:r>
      <w:r w:rsidRPr="0054574C">
        <w:rPr>
          <w:rFonts w:ascii="Arial" w:hAnsi="Arial" w:cs="Arial"/>
          <w:color w:val="000000" w:themeColor="text1"/>
          <w:sz w:val="24"/>
          <w:szCs w:val="24"/>
        </w:rPr>
        <w:lastRenderedPageBreak/>
        <w:t xml:space="preserve">psílido asiático de los cítricos .Reporte CONACYT. Colegio de Postgraduados Campus Veracruz. Consultado en enero 2013 </w:t>
      </w:r>
    </w:p>
    <w:p w:rsid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López</w:t>
      </w:r>
      <w:r w:rsidRPr="0054574C">
        <w:rPr>
          <w:rFonts w:ascii="Cambria Math" w:hAnsi="Cambria Math" w:cs="Cambria Math"/>
          <w:color w:val="000000" w:themeColor="text1"/>
          <w:sz w:val="24"/>
          <w:szCs w:val="24"/>
        </w:rPr>
        <w:t>‐</w:t>
      </w:r>
      <w:r w:rsidRPr="0054574C">
        <w:rPr>
          <w:rFonts w:ascii="Arial" w:hAnsi="Arial" w:cs="Arial"/>
          <w:color w:val="000000" w:themeColor="text1"/>
          <w:sz w:val="24"/>
          <w:szCs w:val="24"/>
        </w:rPr>
        <w:t xml:space="preserve">Arroyo, J.I., M.A. Peña, M.A. Rocha Peña, Y J. Loera. (2005). Ocurrencia en México del psílido asiático Diaphorina citri (Homoptera: Psyllidae), pp. C68. En: Memorias del VII Congreso Internacional de Fitopatología. Chihuahua, Chih., Méx. </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Martinelli F., Uratsu S.L., Albrecht U., Reagan R.L., Phu M.L. (2012) Transcriptome Profiling of Citrus Fruit Response to Huanglongbing Disease. PLoS ONE 7(5): e38039. doi:10.1371/journal.pone.0038039</w:t>
      </w:r>
    </w:p>
    <w:p w:rsidR="0054574C" w:rsidRPr="00A36379"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 xml:space="preserve">Martinez A.L., Wallace J.M. (1967) Citrus leaf mottle-yellows disease in the Philippines and transmission of the causal virus by a psyllid, Diaphorina citri. </w:t>
      </w:r>
      <w:r w:rsidRPr="0054574C">
        <w:rPr>
          <w:rFonts w:ascii="Arial" w:hAnsi="Arial" w:cs="Arial"/>
          <w:color w:val="000000" w:themeColor="text1"/>
          <w:sz w:val="24"/>
          <w:szCs w:val="24"/>
        </w:rPr>
        <w:t>Plant Disease Reporter 51: 692-695.</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 xml:space="preserve">Martínez- Carillo J.L. (2008) Ficha Tecnica Diaphorina citri Kuwuyama, Psílido asiático de los cítricos. SAGARPA- SENASICA- SINAVEF. Martínez Carrillo J.L. &amp; Cortez Mondaca. (2008) El psílido asiático de los cítricos </w:t>
      </w:r>
      <w:r w:rsidRPr="00440F20">
        <w:rPr>
          <w:rFonts w:ascii="Arial" w:hAnsi="Arial" w:cs="Arial"/>
          <w:i/>
          <w:color w:val="000000" w:themeColor="text1"/>
          <w:sz w:val="24"/>
          <w:szCs w:val="24"/>
        </w:rPr>
        <w:t>Diaphorina citri</w:t>
      </w:r>
      <w:r w:rsidRPr="0054574C">
        <w:rPr>
          <w:rFonts w:ascii="Arial" w:hAnsi="Arial" w:cs="Arial"/>
          <w:color w:val="000000" w:themeColor="text1"/>
          <w:sz w:val="24"/>
          <w:szCs w:val="24"/>
        </w:rPr>
        <w:t xml:space="preserve"> amenaza la producción citrícola de México. Memoria del XI Congreso Internacional en Ciencias Agrícolas. UABC.</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rPr>
        <w:t xml:space="preserve">Masschalck B., Van Houdt R., Van Haver E.G., Michiels C.W. (2001) Inactivation of gram-negative bacteria by lysozyme, denatured lysozyme, and lysozyme-derived peptides under high hydrostatic pressure. </w:t>
      </w:r>
      <w:r w:rsidRPr="0054574C">
        <w:rPr>
          <w:rFonts w:ascii="Arial" w:hAnsi="Arial" w:cs="Arial"/>
          <w:color w:val="000000" w:themeColor="text1"/>
          <w:sz w:val="24"/>
          <w:szCs w:val="24"/>
          <w:lang w:val="en-US"/>
        </w:rPr>
        <w:t>Appl Environ Microbiol. 67:339-344.</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McClean A.P.D., Oberholzer P.C.J. (1965a). Greening disease of sweet orange: evidence that it is caused by a transmissible virus. South Africa Journal of Agricultural Science 8: 253-276.</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 xml:space="preserve">McClean A.P.D., Oberholzer P.C.J. (1965b). Citrus psylla, a vector of the greening disease of sweet orange. </w:t>
      </w:r>
      <w:r w:rsidRPr="0054574C">
        <w:rPr>
          <w:rFonts w:ascii="Arial" w:hAnsi="Arial" w:cs="Arial"/>
          <w:color w:val="000000" w:themeColor="text1"/>
          <w:sz w:val="24"/>
          <w:szCs w:val="24"/>
        </w:rPr>
        <w:t>South Africa Journal of Agricultural Science 8: 297-298.</w:t>
      </w:r>
    </w:p>
    <w:p w:rsid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 xml:space="preserve">Ministerio de la Producción. Secretaria de la Agricultura, Ganaderia, Pesca y Alimentación. Servicio Nacional de Sanidad y Calidad Agroalimentaria. Buenos Aires, Argentina, 2009. </w:t>
      </w:r>
    </w:p>
    <w:p w:rsid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lastRenderedPageBreak/>
        <w:t>Montesinos E. (2007) Antimicrobial peptides and plant disease control. FEMS Microbiology Letters, 270: 1–11. Nakajima H., Muranaka T., Ishige F., Akutsu K. (1994). Fungal and bacterial disease resistance in transgenic plants expressing human lysozym</w:t>
      </w:r>
      <w:r>
        <w:rPr>
          <w:rFonts w:ascii="Arial" w:hAnsi="Arial" w:cs="Arial"/>
          <w:color w:val="000000" w:themeColor="text1"/>
          <w:sz w:val="24"/>
          <w:szCs w:val="24"/>
          <w:lang w:val="en-US"/>
        </w:rPr>
        <w:t>e Plant Cell Report 16: 674–679.</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Osusky M., Zhou G., Osuska L., Hancock R.E., Kay W.W., Misra S. (2000) Transgenic plants expressing cationic peptide chimeras exhibit broad-spectrum resistance to phytopathogens Nat. Biotechnol.18, 1162–1166</w:t>
      </w:r>
    </w:p>
    <w:p w:rsid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Park C.H., Kang Y.H., Chun H.J. (2002) Characterization of a stamen-specific cDNA encoding a novel plant defensin in chinese ca</w:t>
      </w:r>
      <w:r>
        <w:rPr>
          <w:rFonts w:ascii="Arial" w:hAnsi="Arial" w:cs="Arial"/>
          <w:color w:val="000000" w:themeColor="text1"/>
          <w:sz w:val="24"/>
          <w:szCs w:val="24"/>
          <w:lang w:val="en-US"/>
        </w:rPr>
        <w:t>bbage. Plant Mol Biol 50: 59–69.</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Philips, D.C. (1967) The Hen-Egg White Lysozyme Molecule. Proceedings of the National Academy of Science. 57:483- 495.</w:t>
      </w:r>
    </w:p>
    <w:p w:rsidR="0054574C" w:rsidRPr="00A36379"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 xml:space="preserve">Radford J., Vesk M., Overall R. (1998) Callose deposition at plasmodesmata. </w:t>
      </w:r>
      <w:r w:rsidRPr="00A36379">
        <w:rPr>
          <w:rFonts w:ascii="Arial" w:hAnsi="Arial" w:cs="Arial"/>
          <w:color w:val="000000" w:themeColor="text1"/>
          <w:sz w:val="24"/>
          <w:szCs w:val="24"/>
          <w:lang w:val="en-US"/>
        </w:rPr>
        <w:t>Protoplasma 201:30–37</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Rinne P., Schoot C. (2003) Plasmodesmata at the crossroads between development, dormancy, and defense. Can J Bot-Rev Canadienne De Botanique 81:1182–1197</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Rinne P.L., van den Boogaard R., Mensink M.G., Kopperud C., Kormelink R., Goldbach R., van der Schoot C. (2005) Tobacco plants respond to the constitutive exp</w:t>
      </w:r>
      <w:r w:rsidR="00497E7E">
        <w:rPr>
          <w:rFonts w:ascii="Arial" w:hAnsi="Arial" w:cs="Arial"/>
          <w:color w:val="000000" w:themeColor="text1"/>
          <w:sz w:val="24"/>
          <w:szCs w:val="24"/>
          <w:lang w:val="en-US"/>
        </w:rPr>
        <w:t>ression of the T</w:t>
      </w:r>
      <w:r w:rsidRPr="0054574C">
        <w:rPr>
          <w:rFonts w:ascii="Arial" w:hAnsi="Arial" w:cs="Arial"/>
          <w:color w:val="000000" w:themeColor="text1"/>
          <w:sz w:val="24"/>
          <w:szCs w:val="24"/>
          <w:lang w:val="en-US"/>
        </w:rPr>
        <w:t>ospovirus movement protein NS(M) with a heat-reversible sealing of plasmodesmata that impairs development. Plant J 43:688–707</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Roberts A.G., Oparka K.J. (2003) Plasmodesmata and the control of symplastic transport. Plant Cell Env 26:103–124</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984B01">
        <w:rPr>
          <w:rFonts w:ascii="Arial" w:hAnsi="Arial" w:cs="Arial"/>
          <w:color w:val="000000" w:themeColor="text1"/>
          <w:sz w:val="24"/>
          <w:szCs w:val="24"/>
        </w:rPr>
        <w:t xml:space="preserve">Ruiz-Medrano R., Xoconostle-Cazares B., Kragler F. (2004). </w:t>
      </w:r>
      <w:r w:rsidRPr="0054574C">
        <w:rPr>
          <w:rFonts w:ascii="Arial" w:hAnsi="Arial" w:cs="Arial"/>
          <w:color w:val="000000" w:themeColor="text1"/>
          <w:sz w:val="24"/>
          <w:szCs w:val="24"/>
          <w:lang w:val="en-US"/>
        </w:rPr>
        <w:t>The plasmodesmatal transport pathway for homeotic proteins, silencing signals and viruses. Curr Opin Plant Biol 7: 641-650.</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lastRenderedPageBreak/>
        <w:t>Ruiz-Medrano R., Xoconostle-Cazares B., Lucas W.J. (1999) Phloem long distance transport of CmNACP mRNA: implications for supracellular regulation in plants. Development 126: 4405–4419</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Russin W.A., Evert R.F., Vanderveer P.J., Sharkey T.D., Briggs S.P. (1996) Modification of a specific class of plasmodesmata and loss of sucrose export ability in the sucrose export defective1 maize mutant. Plant Cell 8:645–658</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Sambrook, J. &amp; Green M.R. (2001) Molecular Cloning: A Laboratory Manual. Third Edition. Cold Spring Harbor Laboratory Press.</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Schaefer S.C., Gasic K., Cammue B., Broekaert W., van Damme E.J.M., Peumans W.J. &amp; Korban S.S. (2005) Enhanced resistance to early blight in transgenic tomato lines expressing heterologous plant defense genes. Planta 222: 858–866.</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Schneider H. (1981) Plant anatomy and general botany. In: Clark G, editor. Staining procedures for biological stain commission. 4th ed. Baltimore: Wiliams and Wilkins; pp. 315–73.</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 xml:space="preserve">Sharma A., Sharma R., Imamura M., Yamakawa M. &amp; Machii H. (2000) Transgenic expression of cecropin B, an antibacterial peptide from Bombyx mori, confers enhanced resistance to bacterial leaf blight in rice. </w:t>
      </w:r>
      <w:r w:rsidRPr="0054574C">
        <w:rPr>
          <w:rFonts w:ascii="Arial" w:hAnsi="Arial" w:cs="Arial"/>
          <w:color w:val="000000" w:themeColor="text1"/>
          <w:sz w:val="24"/>
          <w:szCs w:val="24"/>
        </w:rPr>
        <w:t>FEBS Letters 484: 7–11</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SENASICA, Quinto Informe de Labores, Senasica, 2011. senasica.gob.mx/includes/asp/download.asp?IdDocumento=21587.</w:t>
      </w:r>
    </w:p>
    <w:p w:rsidR="0054574C" w:rsidRPr="0054574C"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rPr>
        <w:t>Servicio de Información Agrícola y Pecuaría (SIAP). Cierre de la producción agrícola en México por cultivo, año 2011. Consultado el 08 de mayo 2013 en: http://www.siap.gob.mx/index.php?option=com_wrapper&amp;view=wrapper&amp;Itemid=350</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rPr>
        <w:t xml:space="preserve">Sivaguru M., Fujiwara T., Šamaj J., Baluška F., Yang Z., Osawa H., Maeda T., Mori T., Volkmann D., Matsumoto H. (2000) Aluminum-induced 1→3-β-D-glucan inhibits cell-to-cell trafficking of molecules through plasmodesmata. </w:t>
      </w:r>
      <w:r w:rsidRPr="0054574C">
        <w:rPr>
          <w:rFonts w:ascii="Arial" w:hAnsi="Arial" w:cs="Arial"/>
          <w:color w:val="000000" w:themeColor="text1"/>
          <w:sz w:val="24"/>
          <w:szCs w:val="24"/>
          <w:lang w:val="en-US"/>
        </w:rPr>
        <w:t>A new mechanism of aluminum toxicity in plants. Plant Physiol 124:991–1005</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lastRenderedPageBreak/>
        <w:t>Smith A.M., Denyer K., Martin C. (1987) The synthesis of the starch granule. Ann Rev Plant Phys Plant Mol Biol 48:67–87</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Strategic Planning for the Florida Citrus Industry: Adressig Citrus Greening, 2010. Consultado en abril de 2012 en la página de Board on Agriculture and Natural Resources (BANR). http://www.nap.edu/openbook.php?record_id=12880&amp;page=41</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Stover E., Richard R., Stange, Jr., &amp; Gregory T.M. (2013) Screening Antimicrobial Peptides In Vitro for Use in Developing Transgenic Citrus Resistant to Huanglongbing and Citrus Canker. J. AMER.SOC.HORT.SCI. 138:142–148.</w:t>
      </w:r>
    </w:p>
    <w:p w:rsidR="00497E7E"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Taiz L. &amp; Zeiger E. (2010) Plant Physiology, Fifth Edition. Sinauer Associates, Sunderland, MA</w:t>
      </w:r>
      <w:r w:rsidR="00497E7E">
        <w:rPr>
          <w:rFonts w:ascii="Arial" w:hAnsi="Arial" w:cs="Arial"/>
          <w:color w:val="000000" w:themeColor="text1"/>
          <w:sz w:val="24"/>
          <w:szCs w:val="24"/>
          <w:lang w:val="en-US"/>
        </w:rPr>
        <w:t>, USA.</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Tatineni S., Sagaram U.S., Gowda S., Robertson C.J., Dawson O.W., Iwanami T., Wang T. (2008) In Planta Distribution of ‘CandidatusLiberibacter asiaticus’ as Revealed by Polymerase Chain Reaction (PCR) and Real-Time PCR. Phytopathology 98: 592-599</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Teixeira D. C., Saillard C., Couture C., Martins E.C., Wulff N.A., Eveillard-Jagoueix S., Yamamoto P.T., Ayres A.J., Bove J.M. (2008) Distribution and quantification of Candidatus Liberibacter americanus, agent of huanglongbing disease of citrus in Sao Paulo State, Brasil, in leaves of an affected sweet orange tree as determined by PCR. Molecular and Cellular Probes 22: 139–150</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Texeira C. D., Saillard C., Eveillard S., Danet L. J., da Costa P., Ayres J.A., Bové, J. (2005). Candidatus Liberibacter americanus, associated with citrus huanglongbing (greening disease) in Sao Paulo State, Brazil. International Journal of Systematic and Evolutionary Microbiology 55: 1857–1862.</w:t>
      </w:r>
    </w:p>
    <w:p w:rsidR="0054574C" w:rsidRPr="00984B01"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 xml:space="preserve">Universal Protein Resource (UNIPROT) Database. </w:t>
      </w:r>
      <w:r w:rsidRPr="00984B01">
        <w:rPr>
          <w:rFonts w:ascii="Arial" w:hAnsi="Arial" w:cs="Arial"/>
          <w:color w:val="000000" w:themeColor="text1"/>
          <w:sz w:val="24"/>
          <w:szCs w:val="24"/>
          <w:lang w:val="en-US"/>
        </w:rPr>
        <w:t>Consultado en enero 2013 en: www.uniprot.org</w:t>
      </w:r>
    </w:p>
    <w:p w:rsidR="00497E7E"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 xml:space="preserve">van der Biezen E.A. (2001) Quest for antimicrobial genes to engineer disease-resistant crops TRENDS in Plant Science 6: 89-91 </w:t>
      </w:r>
    </w:p>
    <w:p w:rsidR="00497E7E"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lastRenderedPageBreak/>
        <w:t xml:space="preserve">Van der Merwe A. J., Andersen F. G. (1937) Chromium and manganese oxicity. Is it important in Transvaal citrus greening? Farming in South Africa. 12: 439-440. </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Vocadlo D. J., Davies G. J., Laine R., Withers S. G. (2001) Catalysis by hen egg-white lysozyme proceeds via a covalent intermediate. Nature 412: 835- 838</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Wang T.L., Bogracheva T.Y., Hedley C.L. (1998) Starch: as simple as A, B, C. J Exp Bot 49:481–502.</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Williams K. P., Sobral B. W., Dickerman A. W. (2007) A robust species tree for the Alphaproteobacteria. J. Bacteriol. 189: 4578-4586.</w:t>
      </w:r>
    </w:p>
    <w:p w:rsidR="0054574C" w:rsidRPr="0054574C"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Xin-Wu P., Shi-Kai C., Rui-Ming W., Shang Y., Jia-Qin H., Yong-Qiang Z., Bing-Shan W., Zhi-Xing W., Shi-Rong J. (2005) Creation of Transgenic Bananas Expressing Human Lysozyme Gene for Panama Wilt Resistant. Journal of Integrative Plant Biology. 47: 971−977</w:t>
      </w:r>
    </w:p>
    <w:p w:rsidR="0054574C" w:rsidRPr="00A36379" w:rsidRDefault="0054574C" w:rsidP="002A3594">
      <w:pPr>
        <w:spacing w:line="360" w:lineRule="auto"/>
        <w:ind w:right="-93"/>
        <w:jc w:val="both"/>
        <w:rPr>
          <w:rFonts w:ascii="Arial" w:hAnsi="Arial" w:cs="Arial"/>
          <w:color w:val="000000" w:themeColor="text1"/>
          <w:sz w:val="24"/>
          <w:szCs w:val="24"/>
          <w:lang w:val="en-US"/>
        </w:rPr>
      </w:pPr>
      <w:r w:rsidRPr="0054574C">
        <w:rPr>
          <w:rFonts w:ascii="Arial" w:hAnsi="Arial" w:cs="Arial"/>
          <w:color w:val="000000" w:themeColor="text1"/>
          <w:sz w:val="24"/>
          <w:szCs w:val="24"/>
          <w:lang w:val="en-US"/>
        </w:rPr>
        <w:t xml:space="preserve">Yelenosky G., Guy C.L. (1977) Carbohydrate accumulation in leaves and stems of ‘Valencia’ orange at progressively colder temperatures. </w:t>
      </w:r>
      <w:r w:rsidRPr="00A36379">
        <w:rPr>
          <w:rFonts w:ascii="Arial" w:hAnsi="Arial" w:cs="Arial"/>
          <w:color w:val="000000" w:themeColor="text1"/>
          <w:sz w:val="24"/>
          <w:szCs w:val="24"/>
          <w:lang w:val="en-US"/>
        </w:rPr>
        <w:t>Bot Gaz 138:13–7.</w:t>
      </w:r>
    </w:p>
    <w:p w:rsidR="0054574C" w:rsidRPr="00A36379" w:rsidRDefault="0054574C" w:rsidP="002A3594">
      <w:pPr>
        <w:spacing w:line="360" w:lineRule="auto"/>
        <w:ind w:right="-93"/>
        <w:jc w:val="both"/>
        <w:rPr>
          <w:rFonts w:ascii="Arial" w:hAnsi="Arial" w:cs="Arial"/>
          <w:color w:val="000000" w:themeColor="text1"/>
          <w:sz w:val="24"/>
          <w:szCs w:val="24"/>
        </w:rPr>
      </w:pPr>
      <w:r w:rsidRPr="0054574C">
        <w:rPr>
          <w:rFonts w:ascii="Arial" w:hAnsi="Arial" w:cs="Arial"/>
          <w:color w:val="000000" w:themeColor="text1"/>
          <w:sz w:val="24"/>
          <w:szCs w:val="24"/>
          <w:lang w:val="en-US"/>
        </w:rPr>
        <w:t xml:space="preserve">Zavaliev R., Sagi G., Gera A., Epel B.L. (2010) The constitutive expression of Arabidopsis plasmodesmal-associated class 1 reversibly glycosylated polypeptide impairs plant development and virus spread. </w:t>
      </w:r>
      <w:r w:rsidRPr="00A36379">
        <w:rPr>
          <w:rFonts w:ascii="Arial" w:hAnsi="Arial" w:cs="Arial"/>
          <w:color w:val="000000" w:themeColor="text1"/>
          <w:sz w:val="24"/>
          <w:szCs w:val="24"/>
        </w:rPr>
        <w:t>J Exp Bot 61:131–142</w:t>
      </w:r>
    </w:p>
    <w:p w:rsidR="00283ED8" w:rsidRPr="004F75D7" w:rsidRDefault="00283ED8" w:rsidP="002A3594">
      <w:pPr>
        <w:ind w:right="-93"/>
        <w:rPr>
          <w:rFonts w:ascii="Arial" w:hAnsi="Arial" w:cs="Arial"/>
          <w:b/>
          <w:sz w:val="24"/>
          <w:szCs w:val="24"/>
        </w:rPr>
      </w:pPr>
      <w:r w:rsidRPr="004F75D7">
        <w:rPr>
          <w:rFonts w:ascii="Arial" w:hAnsi="Arial" w:cs="Arial"/>
          <w:b/>
          <w:sz w:val="24"/>
          <w:szCs w:val="24"/>
        </w:rPr>
        <w:br w:type="page"/>
      </w:r>
    </w:p>
    <w:p w:rsidR="00F87664" w:rsidRPr="00CD2E5F" w:rsidRDefault="00F87664" w:rsidP="002A3594">
      <w:pPr>
        <w:spacing w:line="360" w:lineRule="auto"/>
        <w:ind w:right="-93"/>
        <w:jc w:val="both"/>
        <w:rPr>
          <w:rFonts w:ascii="Arial" w:hAnsi="Arial" w:cs="Arial"/>
          <w:i/>
          <w:sz w:val="24"/>
          <w:szCs w:val="24"/>
          <w:u w:val="single"/>
        </w:rPr>
      </w:pPr>
    </w:p>
    <w:p w:rsidR="00D35796" w:rsidRPr="00CD2E5F" w:rsidRDefault="00CD2E5F" w:rsidP="002A3594">
      <w:pPr>
        <w:spacing w:line="360" w:lineRule="auto"/>
        <w:ind w:right="-93"/>
        <w:jc w:val="both"/>
        <w:rPr>
          <w:rFonts w:ascii="Arial" w:hAnsi="Arial" w:cs="Arial"/>
          <w:b/>
          <w:sz w:val="24"/>
          <w:szCs w:val="24"/>
        </w:rPr>
      </w:pPr>
      <w:r w:rsidRPr="00CD2E5F">
        <w:rPr>
          <w:rFonts w:ascii="Arial" w:hAnsi="Arial" w:cs="Arial"/>
          <w:b/>
          <w:sz w:val="24"/>
          <w:szCs w:val="24"/>
        </w:rPr>
        <w:t xml:space="preserve">IV. </w:t>
      </w:r>
      <w:r w:rsidR="00D35796" w:rsidRPr="00CD2E5F">
        <w:rPr>
          <w:rFonts w:ascii="Arial" w:hAnsi="Arial" w:cs="Arial"/>
          <w:b/>
          <w:sz w:val="24"/>
          <w:szCs w:val="24"/>
        </w:rPr>
        <w:t>Medidas y procedimientos de monitoreo de la actividad y de bioseguridad.</w:t>
      </w:r>
    </w:p>
    <w:p w:rsidR="00D35796" w:rsidRPr="00CD2E5F" w:rsidRDefault="001B2D13" w:rsidP="002A3594">
      <w:pPr>
        <w:spacing w:line="360" w:lineRule="auto"/>
        <w:ind w:right="-93"/>
        <w:jc w:val="both"/>
        <w:rPr>
          <w:rFonts w:ascii="Arial" w:hAnsi="Arial" w:cs="Arial"/>
          <w:b/>
          <w:sz w:val="24"/>
          <w:szCs w:val="24"/>
        </w:rPr>
      </w:pPr>
      <w:r>
        <w:rPr>
          <w:rFonts w:ascii="Arial" w:hAnsi="Arial" w:cs="Arial"/>
          <w:b/>
          <w:sz w:val="24"/>
          <w:szCs w:val="24"/>
        </w:rPr>
        <w:t xml:space="preserve">IV. a. 1 </w:t>
      </w:r>
      <w:r w:rsidR="00D35796" w:rsidRPr="00CD2E5F">
        <w:rPr>
          <w:rFonts w:ascii="Arial" w:hAnsi="Arial" w:cs="Arial"/>
          <w:b/>
          <w:sz w:val="24"/>
          <w:szCs w:val="24"/>
        </w:rPr>
        <w:t>Plan de monitoreo detallado</w:t>
      </w:r>
    </w:p>
    <w:p w:rsidR="001A4EB2" w:rsidRDefault="001A4EB2" w:rsidP="002A3594">
      <w:pPr>
        <w:autoSpaceDE w:val="0"/>
        <w:autoSpaceDN w:val="0"/>
        <w:adjustRightInd w:val="0"/>
        <w:spacing w:after="0" w:line="360" w:lineRule="auto"/>
        <w:jc w:val="both"/>
        <w:rPr>
          <w:rFonts w:ascii="Arial" w:hAnsi="Arial" w:cs="Arial"/>
          <w:color w:val="000000"/>
          <w:sz w:val="23"/>
          <w:szCs w:val="23"/>
        </w:rPr>
      </w:pPr>
      <w:r w:rsidRPr="001A4EB2">
        <w:rPr>
          <w:rFonts w:ascii="Arial" w:hAnsi="Arial" w:cs="Arial"/>
          <w:color w:val="000000"/>
          <w:sz w:val="23"/>
          <w:szCs w:val="23"/>
        </w:rPr>
        <w:t>Se realizará la detección del gen de referencia uti</w:t>
      </w:r>
      <w:r w:rsidR="00982595">
        <w:rPr>
          <w:rFonts w:ascii="Arial" w:hAnsi="Arial" w:cs="Arial"/>
          <w:color w:val="000000"/>
          <w:sz w:val="23"/>
          <w:szCs w:val="23"/>
        </w:rPr>
        <w:t>lizando el método descrito. La colecta de material de GM se realizará cada mes</w:t>
      </w:r>
      <w:r w:rsidRPr="001A4EB2">
        <w:rPr>
          <w:rFonts w:ascii="Arial" w:hAnsi="Arial" w:cs="Arial"/>
          <w:color w:val="000000"/>
          <w:sz w:val="23"/>
          <w:szCs w:val="23"/>
        </w:rPr>
        <w:t>, tomando aleatoriamente material antes y después de su c</w:t>
      </w:r>
      <w:r w:rsidR="00982595">
        <w:rPr>
          <w:rFonts w:ascii="Arial" w:hAnsi="Arial" w:cs="Arial"/>
          <w:color w:val="000000"/>
          <w:sz w:val="23"/>
          <w:szCs w:val="23"/>
        </w:rPr>
        <w:t>recimiento en la fase vegetativa que se va a evaluar.</w:t>
      </w:r>
      <w:r w:rsidRPr="001A4EB2">
        <w:rPr>
          <w:rFonts w:ascii="Arial" w:hAnsi="Arial" w:cs="Arial"/>
          <w:color w:val="000000"/>
          <w:sz w:val="23"/>
          <w:szCs w:val="23"/>
        </w:rPr>
        <w:t xml:space="preserve"> </w:t>
      </w:r>
    </w:p>
    <w:p w:rsidR="00D855DF" w:rsidRPr="001A4EB2" w:rsidRDefault="00D855DF" w:rsidP="002A3594">
      <w:pPr>
        <w:autoSpaceDE w:val="0"/>
        <w:autoSpaceDN w:val="0"/>
        <w:adjustRightInd w:val="0"/>
        <w:spacing w:after="0" w:line="360" w:lineRule="auto"/>
        <w:jc w:val="both"/>
        <w:rPr>
          <w:rFonts w:ascii="Arial" w:hAnsi="Arial" w:cs="Arial"/>
          <w:color w:val="000000"/>
          <w:sz w:val="23"/>
          <w:szCs w:val="23"/>
        </w:rPr>
      </w:pPr>
    </w:p>
    <w:p w:rsidR="00384475" w:rsidRDefault="00384475" w:rsidP="002A3594">
      <w:pPr>
        <w:spacing w:line="360" w:lineRule="auto"/>
        <w:jc w:val="both"/>
        <w:rPr>
          <w:rFonts w:ascii="Arial" w:hAnsi="Arial" w:cs="Arial"/>
          <w:b/>
          <w:bCs/>
          <w:color w:val="000000"/>
          <w:sz w:val="23"/>
          <w:szCs w:val="23"/>
        </w:rPr>
      </w:pPr>
      <w:r>
        <w:rPr>
          <w:rFonts w:ascii="Arial" w:hAnsi="Arial" w:cs="Arial"/>
          <w:b/>
          <w:bCs/>
          <w:color w:val="000000"/>
          <w:sz w:val="23"/>
          <w:szCs w:val="23"/>
        </w:rPr>
        <w:br w:type="page"/>
      </w:r>
    </w:p>
    <w:p w:rsidR="005A32CD" w:rsidRDefault="005A32CD" w:rsidP="002A3594">
      <w:pPr>
        <w:autoSpaceDE w:val="0"/>
        <w:autoSpaceDN w:val="0"/>
        <w:adjustRightInd w:val="0"/>
        <w:spacing w:after="0" w:line="360" w:lineRule="auto"/>
        <w:rPr>
          <w:rFonts w:ascii="Arial" w:hAnsi="Arial" w:cs="Arial"/>
          <w:b/>
          <w:bCs/>
          <w:color w:val="000000"/>
          <w:sz w:val="23"/>
          <w:szCs w:val="23"/>
        </w:rPr>
      </w:pPr>
      <w:r>
        <w:rPr>
          <w:rFonts w:ascii="Arial" w:hAnsi="Arial" w:cs="Arial"/>
          <w:b/>
          <w:bCs/>
          <w:color w:val="000000"/>
          <w:sz w:val="23"/>
          <w:szCs w:val="23"/>
        </w:rPr>
        <w:lastRenderedPageBreak/>
        <w:t>IV. b Medidas y Procedimientos de Bioseguridad</w:t>
      </w:r>
    </w:p>
    <w:p w:rsidR="0096468D" w:rsidRDefault="0096468D" w:rsidP="002A3594">
      <w:pPr>
        <w:autoSpaceDE w:val="0"/>
        <w:autoSpaceDN w:val="0"/>
        <w:adjustRightInd w:val="0"/>
        <w:spacing w:after="0" w:line="360" w:lineRule="auto"/>
        <w:rPr>
          <w:rFonts w:ascii="Arial" w:hAnsi="Arial" w:cs="Arial"/>
          <w:b/>
          <w:bCs/>
          <w:color w:val="000000"/>
          <w:sz w:val="23"/>
          <w:szCs w:val="23"/>
        </w:rPr>
      </w:pPr>
      <w:r>
        <w:rPr>
          <w:rFonts w:ascii="Arial" w:hAnsi="Arial" w:cs="Arial"/>
          <w:b/>
          <w:bCs/>
          <w:color w:val="000000"/>
          <w:sz w:val="23"/>
          <w:szCs w:val="23"/>
        </w:rPr>
        <w:t>IV. b. 1 Medidas y procedimientos para prevenir la liberación</w:t>
      </w:r>
    </w:p>
    <w:p w:rsidR="00E401B8" w:rsidRDefault="00814868" w:rsidP="002A3594">
      <w:pPr>
        <w:autoSpaceDE w:val="0"/>
        <w:autoSpaceDN w:val="0"/>
        <w:adjustRightInd w:val="0"/>
        <w:spacing w:after="0" w:line="360" w:lineRule="auto"/>
        <w:jc w:val="both"/>
        <w:rPr>
          <w:rFonts w:ascii="Arial" w:hAnsi="Arial" w:cs="Arial"/>
          <w:color w:val="000000"/>
          <w:sz w:val="23"/>
          <w:szCs w:val="23"/>
        </w:rPr>
      </w:pPr>
      <w:r>
        <w:rPr>
          <w:rFonts w:ascii="Arial" w:hAnsi="Arial" w:cs="Arial"/>
          <w:color w:val="000000"/>
          <w:sz w:val="23"/>
          <w:szCs w:val="23"/>
        </w:rPr>
        <w:t>La</w:t>
      </w:r>
      <w:r w:rsidR="001A4EB2" w:rsidRPr="001A4EB2">
        <w:rPr>
          <w:rFonts w:ascii="Arial" w:hAnsi="Arial" w:cs="Arial"/>
          <w:color w:val="000000"/>
          <w:sz w:val="23"/>
          <w:szCs w:val="23"/>
        </w:rPr>
        <w:t xml:space="preserve"> promovente entiende la importancia de prevenir el acceso de personal no autorizado y de implementar medidas para evitar la entrada de </w:t>
      </w:r>
      <w:r w:rsidR="0096468D">
        <w:rPr>
          <w:rFonts w:ascii="Arial" w:hAnsi="Arial" w:cs="Arial"/>
          <w:color w:val="000000"/>
          <w:sz w:val="23"/>
          <w:szCs w:val="23"/>
        </w:rPr>
        <w:t>posibles vectores de dispersión (</w:t>
      </w:r>
      <w:r w:rsidR="001A4EB2" w:rsidRPr="001A4EB2">
        <w:rPr>
          <w:rFonts w:ascii="Arial" w:hAnsi="Arial" w:cs="Arial"/>
          <w:color w:val="000000"/>
          <w:sz w:val="23"/>
          <w:szCs w:val="23"/>
        </w:rPr>
        <w:t>animales domésticos y/o silvestres</w:t>
      </w:r>
      <w:r w:rsidR="0096468D">
        <w:rPr>
          <w:rFonts w:ascii="Arial" w:hAnsi="Arial" w:cs="Arial"/>
          <w:color w:val="000000"/>
          <w:sz w:val="23"/>
          <w:szCs w:val="23"/>
        </w:rPr>
        <w:t>)</w:t>
      </w:r>
      <w:r w:rsidR="001A4EB2" w:rsidRPr="001A4EB2">
        <w:rPr>
          <w:rFonts w:ascii="Arial" w:hAnsi="Arial" w:cs="Arial"/>
          <w:color w:val="000000"/>
          <w:sz w:val="23"/>
          <w:szCs w:val="23"/>
        </w:rPr>
        <w:t xml:space="preserve"> que puedan afectar la integridad de la siembra experimental. </w:t>
      </w:r>
      <w:r>
        <w:rPr>
          <w:rFonts w:ascii="Arial" w:hAnsi="Arial" w:cs="Arial"/>
          <w:color w:val="000000"/>
          <w:sz w:val="23"/>
          <w:szCs w:val="23"/>
        </w:rPr>
        <w:t>El predio está resguardado a través de una puerta de acero y el acceso de personas está restringido.</w:t>
      </w:r>
      <w:r w:rsidR="00384475">
        <w:rPr>
          <w:rFonts w:ascii="Arial" w:hAnsi="Arial" w:cs="Arial"/>
          <w:color w:val="000000"/>
          <w:sz w:val="23"/>
          <w:szCs w:val="23"/>
        </w:rPr>
        <w:t xml:space="preserve"> </w:t>
      </w:r>
      <w:r>
        <w:rPr>
          <w:rFonts w:ascii="Arial" w:hAnsi="Arial" w:cs="Arial"/>
          <w:color w:val="000000"/>
          <w:sz w:val="23"/>
          <w:szCs w:val="23"/>
        </w:rPr>
        <w:t xml:space="preserve">Se contará con registro de entrada y salida de personal autorizado. </w:t>
      </w:r>
    </w:p>
    <w:p w:rsidR="00E401B8" w:rsidRDefault="00E401B8" w:rsidP="002A3594">
      <w:pPr>
        <w:autoSpaceDE w:val="0"/>
        <w:autoSpaceDN w:val="0"/>
        <w:adjustRightInd w:val="0"/>
        <w:spacing w:after="0" w:line="360" w:lineRule="auto"/>
        <w:jc w:val="both"/>
        <w:rPr>
          <w:rFonts w:ascii="Arial" w:hAnsi="Arial" w:cs="Arial"/>
          <w:color w:val="000000"/>
          <w:sz w:val="23"/>
          <w:szCs w:val="23"/>
        </w:rPr>
      </w:pPr>
    </w:p>
    <w:p w:rsidR="00E401B8" w:rsidRPr="00E401B8" w:rsidRDefault="00E401B8" w:rsidP="002A3594">
      <w:pPr>
        <w:autoSpaceDE w:val="0"/>
        <w:autoSpaceDN w:val="0"/>
        <w:adjustRightInd w:val="0"/>
        <w:spacing w:after="0" w:line="360" w:lineRule="auto"/>
        <w:jc w:val="both"/>
        <w:rPr>
          <w:rFonts w:ascii="Arial" w:hAnsi="Arial" w:cs="Arial"/>
          <w:b/>
          <w:color w:val="000000"/>
          <w:sz w:val="23"/>
          <w:szCs w:val="23"/>
        </w:rPr>
      </w:pPr>
      <w:r w:rsidRPr="00E401B8">
        <w:rPr>
          <w:rFonts w:ascii="Arial" w:hAnsi="Arial" w:cs="Arial"/>
          <w:b/>
          <w:color w:val="000000"/>
          <w:sz w:val="23"/>
          <w:szCs w:val="23"/>
        </w:rPr>
        <w:t>IV. b. 2 Medidas y Procedimientos para disminuir el acceso</w:t>
      </w:r>
    </w:p>
    <w:p w:rsidR="00E401B8" w:rsidRDefault="00E401B8" w:rsidP="002A3594">
      <w:pPr>
        <w:autoSpaceDE w:val="0"/>
        <w:autoSpaceDN w:val="0"/>
        <w:adjustRightInd w:val="0"/>
        <w:spacing w:after="0" w:line="360" w:lineRule="auto"/>
        <w:jc w:val="both"/>
        <w:rPr>
          <w:rFonts w:ascii="Arial" w:hAnsi="Arial" w:cs="Arial"/>
          <w:color w:val="000000"/>
          <w:sz w:val="23"/>
          <w:szCs w:val="23"/>
        </w:rPr>
      </w:pPr>
      <w:r>
        <w:rPr>
          <w:rFonts w:ascii="Arial" w:hAnsi="Arial" w:cs="Arial"/>
          <w:color w:val="000000"/>
          <w:sz w:val="23"/>
          <w:szCs w:val="23"/>
        </w:rPr>
        <w:t>Como se indicó en la sección anterior, el predio está resguardado y hay una puerta de acero con llave. Dentro del predio, solo hay acceso a personal autorizado. Cabe señalar que el CINVESTAV estableció con el propietario del Vivero, un Convenio de Confidencialidad, el cual limita al propietario para ingresar personal no autorizado y lo faculta para impedir la entrada de personas ajenas al experimento. A pesar de ello, el predio está localizado en un área de baja circulación, pues está cercano un área con topografía inaccesible a pie u otro medio de transporte, que es a la Placa de Cocos (falla de San Andrés).</w:t>
      </w:r>
    </w:p>
    <w:p w:rsidR="00814868" w:rsidRDefault="00814868" w:rsidP="002A3594">
      <w:pPr>
        <w:autoSpaceDE w:val="0"/>
        <w:autoSpaceDN w:val="0"/>
        <w:adjustRightInd w:val="0"/>
        <w:spacing w:after="0" w:line="360" w:lineRule="auto"/>
        <w:jc w:val="both"/>
        <w:rPr>
          <w:rFonts w:ascii="Arial" w:hAnsi="Arial" w:cs="Arial"/>
          <w:color w:val="000000"/>
          <w:sz w:val="23"/>
          <w:szCs w:val="23"/>
        </w:rPr>
      </w:pPr>
      <w:r>
        <w:rPr>
          <w:rFonts w:ascii="Arial" w:hAnsi="Arial" w:cs="Arial"/>
          <w:color w:val="000000"/>
          <w:sz w:val="23"/>
          <w:szCs w:val="23"/>
        </w:rPr>
        <w:t xml:space="preserve">En el predio no hay </w:t>
      </w:r>
      <w:r w:rsidR="00384475">
        <w:rPr>
          <w:rFonts w:ascii="Arial" w:hAnsi="Arial" w:cs="Arial"/>
          <w:color w:val="000000"/>
          <w:sz w:val="23"/>
          <w:szCs w:val="23"/>
        </w:rPr>
        <w:t>acceso libre y la entrada de terracería hacia el predio dificulta el libre acceso de personas.</w:t>
      </w:r>
      <w:r w:rsidR="0096468D">
        <w:rPr>
          <w:rFonts w:ascii="Arial" w:hAnsi="Arial" w:cs="Arial"/>
          <w:color w:val="000000"/>
          <w:sz w:val="23"/>
          <w:szCs w:val="23"/>
        </w:rPr>
        <w:t xml:space="preserve"> Adicional a estas medidas, el Gobierno del Estado de Colima resguarda la carretera que comunica Tecomán con Manzanillo, y el predio propuesto para en ensayo experimental está en la salida a Manzanillo. Es común tener en la entrada hacia el predio la presencia de retenes militares, q</w:t>
      </w:r>
      <w:r w:rsidR="00E401B8">
        <w:rPr>
          <w:rFonts w:ascii="Arial" w:hAnsi="Arial" w:cs="Arial"/>
          <w:color w:val="000000"/>
          <w:sz w:val="23"/>
          <w:szCs w:val="23"/>
        </w:rPr>
        <w:t>ue interrogan a quienes desean acceder al predio.</w:t>
      </w:r>
    </w:p>
    <w:p w:rsidR="00384475" w:rsidRDefault="00384475" w:rsidP="002A3594">
      <w:pPr>
        <w:autoSpaceDE w:val="0"/>
        <w:autoSpaceDN w:val="0"/>
        <w:adjustRightInd w:val="0"/>
        <w:spacing w:after="0" w:line="360" w:lineRule="auto"/>
        <w:jc w:val="both"/>
        <w:rPr>
          <w:rFonts w:ascii="Arial" w:hAnsi="Arial" w:cs="Arial"/>
          <w:color w:val="000000"/>
          <w:sz w:val="23"/>
          <w:szCs w:val="23"/>
        </w:rPr>
      </w:pPr>
    </w:p>
    <w:p w:rsidR="001A4EB2" w:rsidRPr="001A4EB2" w:rsidRDefault="00E401B8" w:rsidP="002A3594">
      <w:pPr>
        <w:autoSpaceDE w:val="0"/>
        <w:autoSpaceDN w:val="0"/>
        <w:adjustRightInd w:val="0"/>
        <w:spacing w:after="0" w:line="360" w:lineRule="auto"/>
        <w:rPr>
          <w:rFonts w:ascii="Arial" w:hAnsi="Arial" w:cs="Arial"/>
          <w:color w:val="000000"/>
          <w:sz w:val="23"/>
          <w:szCs w:val="23"/>
        </w:rPr>
      </w:pPr>
      <w:r w:rsidRPr="00E401B8">
        <w:rPr>
          <w:rFonts w:ascii="Arial" w:hAnsi="Arial" w:cs="Arial"/>
          <w:b/>
          <w:color w:val="000000"/>
          <w:sz w:val="23"/>
          <w:szCs w:val="23"/>
        </w:rPr>
        <w:t xml:space="preserve">IV. b. </w:t>
      </w:r>
      <w:r>
        <w:rPr>
          <w:rFonts w:ascii="Arial" w:hAnsi="Arial" w:cs="Arial"/>
          <w:b/>
          <w:color w:val="000000"/>
          <w:sz w:val="23"/>
          <w:szCs w:val="23"/>
        </w:rPr>
        <w:t>3</w:t>
      </w:r>
      <w:r w:rsidRPr="00E401B8">
        <w:rPr>
          <w:rFonts w:ascii="Arial" w:hAnsi="Arial" w:cs="Arial"/>
          <w:b/>
          <w:color w:val="000000"/>
          <w:sz w:val="23"/>
          <w:szCs w:val="23"/>
        </w:rPr>
        <w:t xml:space="preserve"> </w:t>
      </w:r>
      <w:r>
        <w:rPr>
          <w:rFonts w:ascii="Arial" w:hAnsi="Arial" w:cs="Arial"/>
          <w:b/>
          <w:bCs/>
          <w:color w:val="000000"/>
          <w:sz w:val="23"/>
          <w:szCs w:val="23"/>
        </w:rPr>
        <w:t xml:space="preserve"> Medidas para la Erradicación del OGM e</w:t>
      </w:r>
      <w:r w:rsidRPr="001A4EB2">
        <w:rPr>
          <w:rFonts w:ascii="Arial" w:hAnsi="Arial" w:cs="Arial"/>
          <w:b/>
          <w:bCs/>
          <w:color w:val="000000"/>
          <w:sz w:val="23"/>
          <w:szCs w:val="23"/>
        </w:rPr>
        <w:t xml:space="preserve">n Zonas </w:t>
      </w:r>
      <w:r>
        <w:rPr>
          <w:rFonts w:ascii="Arial" w:hAnsi="Arial" w:cs="Arial"/>
          <w:b/>
          <w:bCs/>
          <w:color w:val="000000"/>
          <w:sz w:val="23"/>
          <w:szCs w:val="23"/>
        </w:rPr>
        <w:t>Distintas a l</w:t>
      </w:r>
      <w:r w:rsidRPr="001A4EB2">
        <w:rPr>
          <w:rFonts w:ascii="Arial" w:hAnsi="Arial" w:cs="Arial"/>
          <w:b/>
          <w:bCs/>
          <w:color w:val="000000"/>
          <w:sz w:val="23"/>
          <w:szCs w:val="23"/>
        </w:rPr>
        <w:t xml:space="preserve">as Permitidas. </w:t>
      </w:r>
    </w:p>
    <w:p w:rsidR="001A4EB2" w:rsidRDefault="001A4EB2" w:rsidP="002A3594">
      <w:pPr>
        <w:autoSpaceDE w:val="0"/>
        <w:autoSpaceDN w:val="0"/>
        <w:adjustRightInd w:val="0"/>
        <w:spacing w:after="0" w:line="360" w:lineRule="auto"/>
        <w:jc w:val="both"/>
        <w:rPr>
          <w:rFonts w:ascii="Arial" w:hAnsi="Arial" w:cs="Arial"/>
          <w:color w:val="000000"/>
          <w:sz w:val="23"/>
          <w:szCs w:val="23"/>
        </w:rPr>
      </w:pPr>
      <w:r w:rsidRPr="001A4EB2">
        <w:rPr>
          <w:rFonts w:ascii="Arial" w:hAnsi="Arial" w:cs="Arial"/>
          <w:color w:val="000000"/>
          <w:sz w:val="23"/>
          <w:szCs w:val="23"/>
        </w:rPr>
        <w:t>Como se indicó arriba, se realiz</w:t>
      </w:r>
      <w:r w:rsidR="00384475">
        <w:rPr>
          <w:rFonts w:ascii="Arial" w:hAnsi="Arial" w:cs="Arial"/>
          <w:color w:val="000000"/>
          <w:sz w:val="23"/>
          <w:szCs w:val="23"/>
        </w:rPr>
        <w:t>ará un monitoreo postcosecha para monitorear posibles plantas nuevas fuera de la zona de la siembra.</w:t>
      </w:r>
    </w:p>
    <w:p w:rsidR="00384475" w:rsidRPr="001A4EB2" w:rsidRDefault="00384475" w:rsidP="002A3594">
      <w:pPr>
        <w:autoSpaceDE w:val="0"/>
        <w:autoSpaceDN w:val="0"/>
        <w:adjustRightInd w:val="0"/>
        <w:spacing w:after="0" w:line="360" w:lineRule="auto"/>
        <w:rPr>
          <w:rFonts w:ascii="Arial" w:hAnsi="Arial" w:cs="Arial"/>
          <w:color w:val="000000"/>
          <w:sz w:val="23"/>
          <w:szCs w:val="23"/>
        </w:rPr>
      </w:pPr>
    </w:p>
    <w:p w:rsidR="00384475" w:rsidRDefault="001A4EB2" w:rsidP="002A3594">
      <w:pPr>
        <w:autoSpaceDE w:val="0"/>
        <w:autoSpaceDN w:val="0"/>
        <w:adjustRightInd w:val="0"/>
        <w:spacing w:after="0" w:line="360" w:lineRule="auto"/>
        <w:rPr>
          <w:rFonts w:ascii="Arial" w:hAnsi="Arial" w:cs="Arial"/>
          <w:color w:val="000000"/>
          <w:sz w:val="23"/>
          <w:szCs w:val="23"/>
        </w:rPr>
      </w:pPr>
      <w:r w:rsidRPr="001A4EB2">
        <w:rPr>
          <w:rFonts w:ascii="Arial" w:hAnsi="Arial" w:cs="Arial"/>
          <w:b/>
          <w:bCs/>
          <w:color w:val="000000"/>
          <w:sz w:val="23"/>
          <w:szCs w:val="23"/>
        </w:rPr>
        <w:t>Mo</w:t>
      </w:r>
      <w:r w:rsidR="00384475">
        <w:rPr>
          <w:rFonts w:ascii="Arial" w:hAnsi="Arial" w:cs="Arial"/>
          <w:b/>
          <w:bCs/>
          <w:color w:val="000000"/>
          <w:sz w:val="23"/>
          <w:szCs w:val="23"/>
        </w:rPr>
        <w:t>nitoreo de plantas voluntarias</w:t>
      </w:r>
    </w:p>
    <w:p w:rsidR="001A4EB2" w:rsidRPr="001A4EB2" w:rsidRDefault="001A4EB2" w:rsidP="002A3594">
      <w:pPr>
        <w:autoSpaceDE w:val="0"/>
        <w:autoSpaceDN w:val="0"/>
        <w:adjustRightInd w:val="0"/>
        <w:spacing w:after="0" w:line="360" w:lineRule="auto"/>
        <w:jc w:val="both"/>
        <w:rPr>
          <w:rFonts w:ascii="Arial" w:hAnsi="Arial" w:cs="Arial"/>
          <w:color w:val="000000"/>
          <w:sz w:val="23"/>
          <w:szCs w:val="23"/>
        </w:rPr>
      </w:pPr>
      <w:r w:rsidRPr="001A4EB2">
        <w:rPr>
          <w:rFonts w:ascii="Arial" w:hAnsi="Arial" w:cs="Arial"/>
          <w:color w:val="000000"/>
          <w:sz w:val="23"/>
          <w:szCs w:val="23"/>
        </w:rPr>
        <w:t xml:space="preserve">El monitoreo sobre el sitio experimental se realizará por seis meses, para eliminar cualquier escape. Las plantas voluntarias identificadas serán eliminadas mediante </w:t>
      </w:r>
      <w:r w:rsidRPr="001A4EB2">
        <w:rPr>
          <w:rFonts w:ascii="Arial" w:hAnsi="Arial" w:cs="Arial"/>
          <w:color w:val="000000"/>
          <w:sz w:val="23"/>
          <w:szCs w:val="23"/>
        </w:rPr>
        <w:lastRenderedPageBreak/>
        <w:t xml:space="preserve">métodos mecánicos o </w:t>
      </w:r>
      <w:r w:rsidR="00384475">
        <w:rPr>
          <w:rFonts w:ascii="Arial" w:hAnsi="Arial" w:cs="Arial"/>
          <w:color w:val="000000"/>
          <w:sz w:val="23"/>
          <w:szCs w:val="23"/>
        </w:rPr>
        <w:t xml:space="preserve">químicos. </w:t>
      </w:r>
      <w:r w:rsidRPr="001A4EB2">
        <w:rPr>
          <w:rFonts w:ascii="Arial" w:hAnsi="Arial" w:cs="Arial"/>
          <w:color w:val="000000"/>
          <w:sz w:val="23"/>
          <w:szCs w:val="23"/>
        </w:rPr>
        <w:t xml:space="preserve">Durante la realización de esta actividad el sitio experimental permanecerá perfectamente identificado. </w:t>
      </w:r>
    </w:p>
    <w:p w:rsidR="00384475" w:rsidRDefault="00384475" w:rsidP="002A3594">
      <w:pPr>
        <w:autoSpaceDE w:val="0"/>
        <w:autoSpaceDN w:val="0"/>
        <w:adjustRightInd w:val="0"/>
        <w:spacing w:after="0" w:line="360" w:lineRule="auto"/>
        <w:rPr>
          <w:rFonts w:ascii="Arial" w:hAnsi="Arial" w:cs="Arial"/>
          <w:b/>
          <w:bCs/>
          <w:color w:val="000000"/>
          <w:sz w:val="23"/>
          <w:szCs w:val="23"/>
        </w:rPr>
      </w:pPr>
    </w:p>
    <w:p w:rsidR="001A4EB2" w:rsidRDefault="00E401B8" w:rsidP="002A3594">
      <w:pPr>
        <w:autoSpaceDE w:val="0"/>
        <w:autoSpaceDN w:val="0"/>
        <w:adjustRightInd w:val="0"/>
        <w:spacing w:after="0" w:line="360" w:lineRule="auto"/>
        <w:rPr>
          <w:rFonts w:ascii="Arial" w:hAnsi="Arial" w:cs="Arial"/>
          <w:b/>
          <w:bCs/>
          <w:color w:val="000000"/>
          <w:sz w:val="23"/>
          <w:szCs w:val="23"/>
        </w:rPr>
      </w:pPr>
      <w:r w:rsidRPr="00E401B8">
        <w:rPr>
          <w:rFonts w:ascii="Arial" w:hAnsi="Arial" w:cs="Arial"/>
          <w:b/>
          <w:color w:val="000000"/>
          <w:sz w:val="23"/>
          <w:szCs w:val="23"/>
        </w:rPr>
        <w:t xml:space="preserve">IV. b. </w:t>
      </w:r>
      <w:r>
        <w:rPr>
          <w:rFonts w:ascii="Arial" w:hAnsi="Arial" w:cs="Arial"/>
          <w:b/>
          <w:color w:val="000000"/>
          <w:sz w:val="23"/>
          <w:szCs w:val="23"/>
        </w:rPr>
        <w:t xml:space="preserve">4 </w:t>
      </w:r>
      <w:r>
        <w:rPr>
          <w:rFonts w:ascii="Arial" w:hAnsi="Arial" w:cs="Arial"/>
          <w:b/>
          <w:bCs/>
          <w:color w:val="000000"/>
          <w:sz w:val="23"/>
          <w:szCs w:val="23"/>
        </w:rPr>
        <w:t xml:space="preserve">Medidas para el Aislamiento de la Zona </w:t>
      </w:r>
      <w:r w:rsidR="00A65FEA">
        <w:rPr>
          <w:rFonts w:ascii="Arial" w:hAnsi="Arial" w:cs="Arial"/>
          <w:b/>
          <w:bCs/>
          <w:color w:val="000000"/>
          <w:sz w:val="23"/>
          <w:szCs w:val="23"/>
        </w:rPr>
        <w:t>de Liberación</w:t>
      </w:r>
    </w:p>
    <w:p w:rsidR="00A65FEA" w:rsidRPr="00A65FEA" w:rsidRDefault="00A65FEA" w:rsidP="002A3594">
      <w:pPr>
        <w:autoSpaceDE w:val="0"/>
        <w:autoSpaceDN w:val="0"/>
        <w:adjustRightInd w:val="0"/>
        <w:spacing w:after="0" w:line="360" w:lineRule="auto"/>
        <w:rPr>
          <w:rFonts w:ascii="Arial" w:hAnsi="Arial" w:cs="Arial"/>
          <w:b/>
          <w:color w:val="000000"/>
          <w:sz w:val="23"/>
          <w:szCs w:val="23"/>
        </w:rPr>
      </w:pPr>
      <w:r w:rsidRPr="00A65FEA">
        <w:rPr>
          <w:rFonts w:ascii="Arial" w:hAnsi="Arial" w:cs="Arial"/>
          <w:b/>
          <w:color w:val="000000"/>
          <w:sz w:val="23"/>
          <w:szCs w:val="23"/>
        </w:rPr>
        <w:t>Acciones preventivas:</w:t>
      </w:r>
    </w:p>
    <w:p w:rsidR="00A65FEA" w:rsidRDefault="00A65FEA" w:rsidP="002A3594">
      <w:pPr>
        <w:autoSpaceDE w:val="0"/>
        <w:autoSpaceDN w:val="0"/>
        <w:adjustRightInd w:val="0"/>
        <w:spacing w:after="0" w:line="360" w:lineRule="auto"/>
        <w:rPr>
          <w:rFonts w:ascii="Arial" w:hAnsi="Arial" w:cs="Arial"/>
          <w:color w:val="000000"/>
          <w:sz w:val="23"/>
          <w:szCs w:val="23"/>
        </w:rPr>
      </w:pPr>
      <w:r>
        <w:rPr>
          <w:rFonts w:ascii="Arial" w:hAnsi="Arial" w:cs="Arial"/>
          <w:color w:val="000000"/>
          <w:sz w:val="23"/>
          <w:szCs w:val="23"/>
        </w:rPr>
        <w:t>Se cuenta con acceso restringido, constituido por una reja al inicio de la carretera que lleva al predio y otra reja de acero con llave a la entrada al predio. Solo se permite la entrada a personal autorizado. Se empleará un registro de entrada del personal autorizado a trabajar en el predio.</w:t>
      </w:r>
    </w:p>
    <w:p w:rsidR="00A65FEA" w:rsidRPr="001A4EB2" w:rsidRDefault="00A65FEA" w:rsidP="002A3594">
      <w:pPr>
        <w:autoSpaceDE w:val="0"/>
        <w:autoSpaceDN w:val="0"/>
        <w:adjustRightInd w:val="0"/>
        <w:spacing w:after="0" w:line="360" w:lineRule="auto"/>
        <w:rPr>
          <w:rFonts w:ascii="Arial" w:hAnsi="Arial" w:cs="Arial"/>
          <w:color w:val="000000"/>
          <w:sz w:val="23"/>
          <w:szCs w:val="23"/>
        </w:rPr>
      </w:pPr>
    </w:p>
    <w:p w:rsidR="001A4EB2" w:rsidRPr="00A65FEA" w:rsidRDefault="00A65FEA" w:rsidP="002A3594">
      <w:pPr>
        <w:autoSpaceDE w:val="0"/>
        <w:autoSpaceDN w:val="0"/>
        <w:adjustRightInd w:val="0"/>
        <w:spacing w:after="0" w:line="360" w:lineRule="auto"/>
        <w:rPr>
          <w:rFonts w:ascii="Arial" w:hAnsi="Arial" w:cs="Arial"/>
          <w:b/>
          <w:color w:val="000000"/>
          <w:sz w:val="23"/>
          <w:szCs w:val="23"/>
        </w:rPr>
      </w:pPr>
      <w:r>
        <w:rPr>
          <w:rFonts w:ascii="Arial" w:hAnsi="Arial" w:cs="Arial"/>
          <w:b/>
          <w:color w:val="000000"/>
          <w:sz w:val="23"/>
          <w:szCs w:val="23"/>
        </w:rPr>
        <w:t>Acciones correctivas:</w:t>
      </w:r>
    </w:p>
    <w:p w:rsidR="001A4EB2" w:rsidRPr="00A65FEA" w:rsidRDefault="001A4EB2" w:rsidP="002A3594">
      <w:pPr>
        <w:autoSpaceDE w:val="0"/>
        <w:autoSpaceDN w:val="0"/>
        <w:adjustRightInd w:val="0"/>
        <w:spacing w:after="0" w:line="360" w:lineRule="auto"/>
        <w:rPr>
          <w:rFonts w:ascii="Arial" w:hAnsi="Arial" w:cs="Arial"/>
          <w:b/>
          <w:color w:val="000000"/>
          <w:sz w:val="23"/>
          <w:szCs w:val="23"/>
        </w:rPr>
      </w:pPr>
      <w:r w:rsidRPr="00A65FEA">
        <w:rPr>
          <w:rFonts w:ascii="Arial" w:hAnsi="Arial" w:cs="Arial"/>
          <w:b/>
          <w:color w:val="000000"/>
          <w:sz w:val="23"/>
          <w:szCs w:val="23"/>
        </w:rPr>
        <w:t xml:space="preserve">A. Liberación accidental durante el transporte. </w:t>
      </w:r>
    </w:p>
    <w:p w:rsidR="00A65FEA" w:rsidRDefault="007F2B36" w:rsidP="00A65FEA">
      <w:pPr>
        <w:autoSpaceDE w:val="0"/>
        <w:autoSpaceDN w:val="0"/>
        <w:adjustRightInd w:val="0"/>
        <w:spacing w:after="0" w:line="360" w:lineRule="auto"/>
        <w:rPr>
          <w:rFonts w:ascii="Arial" w:hAnsi="Arial" w:cs="Arial"/>
          <w:color w:val="000000"/>
          <w:sz w:val="23"/>
          <w:szCs w:val="23"/>
        </w:rPr>
      </w:pPr>
      <w:r>
        <w:rPr>
          <w:rFonts w:ascii="Arial" w:hAnsi="Arial" w:cs="Arial"/>
          <w:color w:val="000000"/>
          <w:sz w:val="23"/>
          <w:szCs w:val="23"/>
        </w:rPr>
        <w:t>Este escenario no es posible, ya que se injertarán las plantas dentro del mismo vivero</w:t>
      </w:r>
      <w:r w:rsidR="00A65FEA">
        <w:rPr>
          <w:rFonts w:ascii="Arial" w:hAnsi="Arial" w:cs="Arial"/>
          <w:color w:val="000000"/>
          <w:sz w:val="23"/>
          <w:szCs w:val="23"/>
        </w:rPr>
        <w:t xml:space="preserve"> y cuando estén listas para tra</w:t>
      </w:r>
      <w:r>
        <w:rPr>
          <w:rFonts w:ascii="Arial" w:hAnsi="Arial" w:cs="Arial"/>
          <w:color w:val="000000"/>
          <w:sz w:val="23"/>
          <w:szCs w:val="23"/>
        </w:rPr>
        <w:t>splante, se desplazarán 100m al sitio de la siembra.</w:t>
      </w:r>
      <w:r w:rsidR="00A65FEA">
        <w:rPr>
          <w:rFonts w:ascii="Arial" w:hAnsi="Arial" w:cs="Arial"/>
          <w:color w:val="000000"/>
          <w:sz w:val="23"/>
          <w:szCs w:val="23"/>
        </w:rPr>
        <w:t xml:space="preserve"> </w:t>
      </w:r>
    </w:p>
    <w:p w:rsidR="001A4EB2" w:rsidRPr="00A65FEA" w:rsidRDefault="00A65FEA" w:rsidP="00A65FEA">
      <w:pPr>
        <w:autoSpaceDE w:val="0"/>
        <w:autoSpaceDN w:val="0"/>
        <w:adjustRightInd w:val="0"/>
        <w:spacing w:after="0" w:line="360" w:lineRule="auto"/>
        <w:rPr>
          <w:rFonts w:ascii="Arial" w:hAnsi="Arial" w:cs="Arial"/>
          <w:b/>
          <w:color w:val="000000"/>
          <w:sz w:val="23"/>
          <w:szCs w:val="23"/>
        </w:rPr>
      </w:pPr>
      <w:r w:rsidRPr="00A65FEA">
        <w:rPr>
          <w:rFonts w:ascii="Arial" w:hAnsi="Arial" w:cs="Arial"/>
          <w:b/>
          <w:color w:val="000000"/>
          <w:sz w:val="23"/>
          <w:szCs w:val="23"/>
        </w:rPr>
        <w:t xml:space="preserve">B. </w:t>
      </w:r>
      <w:r w:rsidR="001A4EB2" w:rsidRPr="00A65FEA">
        <w:rPr>
          <w:rFonts w:ascii="Arial" w:hAnsi="Arial" w:cs="Arial"/>
          <w:b/>
          <w:color w:val="000000"/>
          <w:sz w:val="23"/>
          <w:szCs w:val="23"/>
        </w:rPr>
        <w:t xml:space="preserve">Liberación accidental durante la siembra. </w:t>
      </w:r>
    </w:p>
    <w:p w:rsidR="001A4EB2" w:rsidRPr="001A4EB2" w:rsidRDefault="001A4EB2" w:rsidP="002A3594">
      <w:pPr>
        <w:autoSpaceDE w:val="0"/>
        <w:autoSpaceDN w:val="0"/>
        <w:adjustRightInd w:val="0"/>
        <w:spacing w:after="0" w:line="360" w:lineRule="auto"/>
        <w:jc w:val="both"/>
        <w:rPr>
          <w:rFonts w:ascii="Arial" w:hAnsi="Arial" w:cs="Arial"/>
          <w:color w:val="000000"/>
          <w:sz w:val="23"/>
          <w:szCs w:val="23"/>
        </w:rPr>
      </w:pPr>
      <w:r w:rsidRPr="001A4EB2">
        <w:rPr>
          <w:rFonts w:ascii="Arial" w:hAnsi="Arial" w:cs="Arial"/>
          <w:color w:val="000000"/>
          <w:sz w:val="23"/>
          <w:szCs w:val="23"/>
        </w:rPr>
        <w:t xml:space="preserve">Si por accidente se realiza la liberación del material experimental en un sitio no autorizado, el incidente se reportará inmediatamente a la autoridad y se procederá a implementar acciones correctivas. Una vez confirmado que la liberación se ha realizado en sitios no autorizados, se procederá a la destrucción inmediata de las plantas establecidas, mediante método mecánico o químico. Se deberá identificar claramente el área donde ocurrió la liberación accidental y realizar un programa de monitoreo posterior durante un año para proceder a la destrucción inmediata de </w:t>
      </w:r>
      <w:r w:rsidR="00A65FEA">
        <w:rPr>
          <w:rFonts w:ascii="Arial" w:hAnsi="Arial" w:cs="Arial"/>
          <w:color w:val="000000"/>
          <w:sz w:val="23"/>
          <w:szCs w:val="23"/>
        </w:rPr>
        <w:t>las plantas,</w:t>
      </w:r>
      <w:r w:rsidRPr="001A4EB2">
        <w:rPr>
          <w:rFonts w:ascii="Arial" w:hAnsi="Arial" w:cs="Arial"/>
          <w:color w:val="000000"/>
          <w:sz w:val="23"/>
          <w:szCs w:val="23"/>
        </w:rPr>
        <w:t xml:space="preserve"> mediante el uso de método mecánico o químico. </w:t>
      </w:r>
    </w:p>
    <w:p w:rsidR="001A4EB2" w:rsidRDefault="001A4EB2" w:rsidP="002A3594">
      <w:pPr>
        <w:autoSpaceDE w:val="0"/>
        <w:autoSpaceDN w:val="0"/>
        <w:adjustRightInd w:val="0"/>
        <w:spacing w:after="0" w:line="360" w:lineRule="auto"/>
        <w:jc w:val="both"/>
        <w:rPr>
          <w:rFonts w:ascii="Arial" w:hAnsi="Arial" w:cs="Arial"/>
          <w:color w:val="000000"/>
          <w:sz w:val="23"/>
          <w:szCs w:val="23"/>
        </w:rPr>
      </w:pPr>
      <w:r w:rsidRPr="001A4EB2">
        <w:rPr>
          <w:rFonts w:ascii="Arial" w:hAnsi="Arial" w:cs="Arial"/>
          <w:color w:val="000000"/>
          <w:sz w:val="23"/>
          <w:szCs w:val="23"/>
        </w:rPr>
        <w:t>Una vez que se hayan llevado a cabo las medidas correctivas mencionadas anteriormente, se realizará una revisión para identificar las causas que originaron el problema e instituir los cambios necesarios en las prácticas de manejo o entrenamiento adicional en el personal a fin de ev</w:t>
      </w:r>
      <w:r w:rsidR="00A65FEA">
        <w:rPr>
          <w:rFonts w:ascii="Arial" w:hAnsi="Arial" w:cs="Arial"/>
          <w:color w:val="000000"/>
          <w:sz w:val="23"/>
          <w:szCs w:val="23"/>
        </w:rPr>
        <w:t>itar que se repita la liberación accidental.</w:t>
      </w:r>
      <w:r w:rsidRPr="001A4EB2">
        <w:rPr>
          <w:rFonts w:ascii="Arial" w:hAnsi="Arial" w:cs="Arial"/>
          <w:color w:val="000000"/>
          <w:sz w:val="23"/>
          <w:szCs w:val="23"/>
        </w:rPr>
        <w:t xml:space="preserve"> </w:t>
      </w:r>
    </w:p>
    <w:p w:rsidR="007F2B36" w:rsidRPr="001A4EB2" w:rsidRDefault="007F2B36" w:rsidP="002A3594">
      <w:pPr>
        <w:autoSpaceDE w:val="0"/>
        <w:autoSpaceDN w:val="0"/>
        <w:adjustRightInd w:val="0"/>
        <w:spacing w:after="0" w:line="360" w:lineRule="auto"/>
        <w:jc w:val="both"/>
        <w:rPr>
          <w:rFonts w:ascii="Arial" w:hAnsi="Arial" w:cs="Arial"/>
          <w:color w:val="000000"/>
          <w:sz w:val="23"/>
          <w:szCs w:val="23"/>
        </w:rPr>
      </w:pPr>
    </w:p>
    <w:p w:rsidR="001A4EB2" w:rsidRPr="001A4EB2" w:rsidRDefault="00A65FEA" w:rsidP="002A3594">
      <w:pPr>
        <w:autoSpaceDE w:val="0"/>
        <w:autoSpaceDN w:val="0"/>
        <w:adjustRightInd w:val="0"/>
        <w:spacing w:after="0" w:line="360" w:lineRule="auto"/>
        <w:rPr>
          <w:rFonts w:ascii="Arial" w:hAnsi="Arial" w:cs="Arial"/>
          <w:color w:val="000000"/>
          <w:sz w:val="23"/>
          <w:szCs w:val="23"/>
        </w:rPr>
      </w:pPr>
      <w:r w:rsidRPr="00E401B8">
        <w:rPr>
          <w:rFonts w:ascii="Arial" w:hAnsi="Arial" w:cs="Arial"/>
          <w:b/>
          <w:color w:val="000000"/>
          <w:sz w:val="23"/>
          <w:szCs w:val="23"/>
        </w:rPr>
        <w:t xml:space="preserve">IV. b. </w:t>
      </w:r>
      <w:r>
        <w:rPr>
          <w:rFonts w:ascii="Arial" w:hAnsi="Arial" w:cs="Arial"/>
          <w:b/>
          <w:color w:val="000000"/>
          <w:sz w:val="23"/>
          <w:szCs w:val="23"/>
        </w:rPr>
        <w:t xml:space="preserve">5 </w:t>
      </w:r>
      <w:r w:rsidRPr="001A4EB2">
        <w:rPr>
          <w:rFonts w:ascii="Arial" w:hAnsi="Arial" w:cs="Arial"/>
          <w:b/>
          <w:bCs/>
          <w:color w:val="000000"/>
          <w:sz w:val="23"/>
          <w:szCs w:val="23"/>
        </w:rPr>
        <w:t xml:space="preserve">Medidas </w:t>
      </w:r>
      <w:r>
        <w:rPr>
          <w:rFonts w:ascii="Arial" w:hAnsi="Arial" w:cs="Arial"/>
          <w:b/>
          <w:bCs/>
          <w:color w:val="000000"/>
          <w:sz w:val="23"/>
          <w:szCs w:val="23"/>
        </w:rPr>
        <w:t>para la Protección de la Salud Humana y del Ambiente, en caso de que Ocurriera u</w:t>
      </w:r>
      <w:r w:rsidRPr="001A4EB2">
        <w:rPr>
          <w:rFonts w:ascii="Arial" w:hAnsi="Arial" w:cs="Arial"/>
          <w:b/>
          <w:bCs/>
          <w:color w:val="000000"/>
          <w:sz w:val="23"/>
          <w:szCs w:val="23"/>
        </w:rPr>
        <w:t>n Eve</w:t>
      </w:r>
      <w:r>
        <w:rPr>
          <w:rFonts w:ascii="Arial" w:hAnsi="Arial" w:cs="Arial"/>
          <w:b/>
          <w:bCs/>
          <w:color w:val="000000"/>
          <w:sz w:val="23"/>
          <w:szCs w:val="23"/>
        </w:rPr>
        <w:t>nto d</w:t>
      </w:r>
      <w:r w:rsidRPr="001A4EB2">
        <w:rPr>
          <w:rFonts w:ascii="Arial" w:hAnsi="Arial" w:cs="Arial"/>
          <w:b/>
          <w:bCs/>
          <w:color w:val="000000"/>
          <w:sz w:val="23"/>
          <w:szCs w:val="23"/>
        </w:rPr>
        <w:t xml:space="preserve">e Liberación No Deseado. </w:t>
      </w:r>
    </w:p>
    <w:p w:rsidR="007950EE" w:rsidRDefault="00A65FEA" w:rsidP="002A3594">
      <w:pPr>
        <w:autoSpaceDE w:val="0"/>
        <w:autoSpaceDN w:val="0"/>
        <w:adjustRightInd w:val="0"/>
        <w:spacing w:after="0" w:line="360" w:lineRule="auto"/>
        <w:jc w:val="both"/>
        <w:rPr>
          <w:rFonts w:ascii="Arial" w:hAnsi="Arial" w:cs="Arial"/>
          <w:color w:val="000000"/>
          <w:sz w:val="23"/>
          <w:szCs w:val="23"/>
        </w:rPr>
      </w:pPr>
      <w:r>
        <w:rPr>
          <w:rFonts w:ascii="Arial" w:hAnsi="Arial" w:cs="Arial"/>
          <w:color w:val="000000"/>
          <w:sz w:val="23"/>
          <w:szCs w:val="23"/>
        </w:rPr>
        <w:t xml:space="preserve">Por favor, note que el jugo de cítricos expresando lisozima y/o lisozima humanas ya han sido sujetos de ensayos de toxicidad aguda en ratones, bajo los lineamientos que </w:t>
      </w:r>
      <w:r>
        <w:rPr>
          <w:rFonts w:ascii="Arial" w:hAnsi="Arial" w:cs="Arial"/>
          <w:color w:val="000000"/>
          <w:sz w:val="23"/>
          <w:szCs w:val="23"/>
        </w:rPr>
        <w:lastRenderedPageBreak/>
        <w:t>estableció el comité de bioética y bioseguridad del CINVESTAV. A partir de estos ensayos se co</w:t>
      </w:r>
      <w:r w:rsidR="0098569F">
        <w:rPr>
          <w:rFonts w:ascii="Arial" w:hAnsi="Arial" w:cs="Arial"/>
          <w:color w:val="000000"/>
          <w:sz w:val="23"/>
          <w:szCs w:val="23"/>
        </w:rPr>
        <w:t>ncluyó que las proteínas</w:t>
      </w:r>
      <w:r>
        <w:rPr>
          <w:rFonts w:ascii="Arial" w:hAnsi="Arial" w:cs="Arial"/>
          <w:color w:val="000000"/>
          <w:sz w:val="23"/>
          <w:szCs w:val="23"/>
        </w:rPr>
        <w:t xml:space="preserve"> no representaron un cambio en el peso de los ratones, ni en su biometría hemática; además de no observarse cambios anatómicos en tejido hepático</w:t>
      </w:r>
      <w:r w:rsidR="003C4B90">
        <w:rPr>
          <w:rFonts w:ascii="Arial" w:hAnsi="Arial" w:cs="Arial"/>
          <w:color w:val="000000"/>
          <w:sz w:val="23"/>
          <w:szCs w:val="23"/>
        </w:rPr>
        <w:t>.</w:t>
      </w:r>
      <w:r w:rsidR="007950EE">
        <w:rPr>
          <w:rFonts w:ascii="Arial" w:hAnsi="Arial" w:cs="Arial"/>
          <w:color w:val="000000"/>
          <w:sz w:val="23"/>
          <w:szCs w:val="23"/>
        </w:rPr>
        <w:t xml:space="preserve"> Se está conformando un Dossier para su presentación en COFEPRIS, con el objeto de obtener la autorización de comercialización. Asimismo, el jugo de limón fue evaluado por análisis bromatológico, según la norma mexicana y de FDA, no encontrando diferencias significativas en los componentes evaluados. </w:t>
      </w:r>
    </w:p>
    <w:p w:rsidR="001A4EB2" w:rsidRDefault="007950EE" w:rsidP="002A3594">
      <w:pPr>
        <w:autoSpaceDE w:val="0"/>
        <w:autoSpaceDN w:val="0"/>
        <w:adjustRightInd w:val="0"/>
        <w:spacing w:after="0" w:line="360" w:lineRule="auto"/>
        <w:jc w:val="both"/>
        <w:rPr>
          <w:rFonts w:ascii="Arial" w:hAnsi="Arial" w:cs="Arial"/>
          <w:color w:val="000000"/>
          <w:sz w:val="23"/>
          <w:szCs w:val="23"/>
        </w:rPr>
      </w:pPr>
      <w:r>
        <w:rPr>
          <w:rFonts w:ascii="Arial" w:hAnsi="Arial" w:cs="Arial"/>
          <w:color w:val="000000"/>
          <w:sz w:val="23"/>
          <w:szCs w:val="23"/>
        </w:rPr>
        <w:t xml:space="preserve">Con estos datos, se considera que el jugo de limón </w:t>
      </w:r>
      <w:r w:rsidR="001A4EB2" w:rsidRPr="001A4EB2">
        <w:rPr>
          <w:rFonts w:ascii="Arial" w:hAnsi="Arial" w:cs="Arial"/>
          <w:color w:val="000000"/>
          <w:sz w:val="23"/>
          <w:szCs w:val="23"/>
        </w:rPr>
        <w:t xml:space="preserve">no </w:t>
      </w:r>
      <w:r w:rsidRPr="001A4EB2">
        <w:rPr>
          <w:rFonts w:ascii="Arial" w:hAnsi="Arial" w:cs="Arial"/>
          <w:color w:val="000000"/>
          <w:sz w:val="23"/>
          <w:szCs w:val="23"/>
        </w:rPr>
        <w:t>presen</w:t>
      </w:r>
      <w:r>
        <w:rPr>
          <w:rFonts w:ascii="Arial" w:hAnsi="Arial" w:cs="Arial"/>
          <w:color w:val="000000"/>
          <w:sz w:val="23"/>
          <w:szCs w:val="23"/>
        </w:rPr>
        <w:t>ta un problema de salud</w:t>
      </w:r>
      <w:r w:rsidR="007F2B36">
        <w:rPr>
          <w:rFonts w:ascii="Arial" w:hAnsi="Arial" w:cs="Arial"/>
          <w:color w:val="000000"/>
          <w:sz w:val="23"/>
          <w:szCs w:val="23"/>
        </w:rPr>
        <w:t>. S</w:t>
      </w:r>
      <w:r w:rsidR="001A4EB2" w:rsidRPr="001A4EB2">
        <w:rPr>
          <w:rFonts w:ascii="Arial" w:hAnsi="Arial" w:cs="Arial"/>
          <w:color w:val="000000"/>
          <w:sz w:val="23"/>
          <w:szCs w:val="23"/>
        </w:rPr>
        <w:t>in embargo, se impedirá que sean utilizadas para co</w:t>
      </w:r>
      <w:r w:rsidR="007F2B36">
        <w:rPr>
          <w:rFonts w:ascii="Arial" w:hAnsi="Arial" w:cs="Arial"/>
          <w:color w:val="000000"/>
          <w:sz w:val="23"/>
          <w:szCs w:val="23"/>
        </w:rPr>
        <w:t xml:space="preserve">nsumo humano. </w:t>
      </w:r>
    </w:p>
    <w:p w:rsidR="007F2B36" w:rsidRPr="001A4EB2" w:rsidRDefault="007F2B36" w:rsidP="002A3594">
      <w:pPr>
        <w:autoSpaceDE w:val="0"/>
        <w:autoSpaceDN w:val="0"/>
        <w:adjustRightInd w:val="0"/>
        <w:spacing w:after="0" w:line="360" w:lineRule="auto"/>
        <w:jc w:val="both"/>
        <w:rPr>
          <w:rFonts w:ascii="Arial" w:hAnsi="Arial" w:cs="Arial"/>
          <w:color w:val="000000"/>
          <w:sz w:val="23"/>
          <w:szCs w:val="23"/>
        </w:rPr>
      </w:pPr>
    </w:p>
    <w:p w:rsidR="001A4EB2" w:rsidRPr="001A4EB2" w:rsidRDefault="007950EE" w:rsidP="002A3594">
      <w:pPr>
        <w:autoSpaceDE w:val="0"/>
        <w:autoSpaceDN w:val="0"/>
        <w:adjustRightInd w:val="0"/>
        <w:spacing w:after="0" w:line="360" w:lineRule="auto"/>
        <w:rPr>
          <w:rFonts w:ascii="Arial" w:hAnsi="Arial" w:cs="Arial"/>
          <w:color w:val="000000"/>
          <w:sz w:val="23"/>
          <w:szCs w:val="23"/>
        </w:rPr>
      </w:pPr>
      <w:r>
        <w:rPr>
          <w:rFonts w:ascii="Arial" w:hAnsi="Arial" w:cs="Arial"/>
          <w:b/>
          <w:bCs/>
          <w:color w:val="000000"/>
          <w:sz w:val="23"/>
          <w:szCs w:val="23"/>
        </w:rPr>
        <w:t>IV.b.</w:t>
      </w:r>
      <w:r w:rsidR="001A4EB2" w:rsidRPr="001A4EB2">
        <w:rPr>
          <w:rFonts w:ascii="Arial" w:hAnsi="Arial" w:cs="Arial"/>
          <w:b/>
          <w:bCs/>
          <w:color w:val="000000"/>
          <w:sz w:val="23"/>
          <w:szCs w:val="23"/>
        </w:rPr>
        <w:t xml:space="preserve">6. </w:t>
      </w:r>
      <w:r>
        <w:rPr>
          <w:rFonts w:ascii="Arial" w:hAnsi="Arial" w:cs="Arial"/>
          <w:b/>
          <w:bCs/>
          <w:color w:val="000000"/>
          <w:sz w:val="23"/>
          <w:szCs w:val="23"/>
        </w:rPr>
        <w:t>Métodos de Limpieza o Disposición Final de los Residuos de l</w:t>
      </w:r>
      <w:r w:rsidRPr="001A4EB2">
        <w:rPr>
          <w:rFonts w:ascii="Arial" w:hAnsi="Arial" w:cs="Arial"/>
          <w:b/>
          <w:bCs/>
          <w:color w:val="000000"/>
          <w:sz w:val="23"/>
          <w:szCs w:val="23"/>
        </w:rPr>
        <w:t xml:space="preserve">a Liberación </w:t>
      </w:r>
    </w:p>
    <w:p w:rsidR="007F2B36" w:rsidRDefault="001A4EB2" w:rsidP="0098569F">
      <w:pPr>
        <w:autoSpaceDE w:val="0"/>
        <w:autoSpaceDN w:val="0"/>
        <w:adjustRightInd w:val="0"/>
        <w:spacing w:after="0" w:line="360" w:lineRule="auto"/>
        <w:jc w:val="both"/>
        <w:rPr>
          <w:rFonts w:ascii="Arial" w:hAnsi="Arial" w:cs="Arial"/>
          <w:b/>
          <w:bCs/>
          <w:i/>
          <w:iCs/>
          <w:color w:val="000000"/>
          <w:sz w:val="23"/>
          <w:szCs w:val="23"/>
        </w:rPr>
      </w:pPr>
      <w:r w:rsidRPr="001A4EB2">
        <w:rPr>
          <w:rFonts w:ascii="Arial" w:hAnsi="Arial" w:cs="Arial"/>
          <w:color w:val="000000"/>
          <w:sz w:val="23"/>
          <w:szCs w:val="23"/>
        </w:rPr>
        <w:t xml:space="preserve">Como se indicó arriba, </w:t>
      </w:r>
      <w:r w:rsidR="007F2B36">
        <w:rPr>
          <w:rFonts w:ascii="Arial" w:hAnsi="Arial" w:cs="Arial"/>
          <w:color w:val="000000"/>
          <w:sz w:val="23"/>
          <w:szCs w:val="23"/>
        </w:rPr>
        <w:t>se solicita a la autoridad competente que no se indique la d</w:t>
      </w:r>
      <w:r w:rsidR="00DE3AF2">
        <w:rPr>
          <w:rFonts w:ascii="Arial" w:hAnsi="Arial" w:cs="Arial"/>
          <w:color w:val="000000"/>
          <w:sz w:val="23"/>
          <w:szCs w:val="23"/>
        </w:rPr>
        <w:t>estrucción de este cultivo pere</w:t>
      </w:r>
      <w:r w:rsidR="007F2B36">
        <w:rPr>
          <w:rFonts w:ascii="Arial" w:hAnsi="Arial" w:cs="Arial"/>
          <w:color w:val="000000"/>
          <w:sz w:val="23"/>
          <w:szCs w:val="23"/>
        </w:rPr>
        <w:t>ne, con el objeto de ser empleado posteriormente en la prueba piloto.</w:t>
      </w:r>
      <w:r w:rsidRPr="001A4EB2">
        <w:rPr>
          <w:rFonts w:ascii="Arial" w:hAnsi="Arial" w:cs="Arial"/>
          <w:color w:val="000000"/>
          <w:sz w:val="23"/>
          <w:szCs w:val="23"/>
        </w:rPr>
        <w:t xml:space="preserve"> </w:t>
      </w:r>
    </w:p>
    <w:p w:rsidR="00DE3AF2" w:rsidRDefault="00DE3AF2" w:rsidP="002A3594">
      <w:pPr>
        <w:autoSpaceDE w:val="0"/>
        <w:autoSpaceDN w:val="0"/>
        <w:adjustRightInd w:val="0"/>
        <w:spacing w:after="0" w:line="360" w:lineRule="auto"/>
        <w:rPr>
          <w:rFonts w:ascii="Arial" w:hAnsi="Arial" w:cs="Arial"/>
          <w:color w:val="000000"/>
          <w:sz w:val="23"/>
          <w:szCs w:val="23"/>
        </w:rPr>
      </w:pPr>
    </w:p>
    <w:p w:rsidR="00DE3AF2" w:rsidRPr="00DE3AF2" w:rsidRDefault="00DE3AF2" w:rsidP="002A3594">
      <w:pPr>
        <w:autoSpaceDE w:val="0"/>
        <w:autoSpaceDN w:val="0"/>
        <w:adjustRightInd w:val="0"/>
        <w:spacing w:after="0" w:line="360" w:lineRule="auto"/>
        <w:rPr>
          <w:rFonts w:ascii="Arial" w:hAnsi="Arial" w:cs="Arial"/>
          <w:b/>
          <w:color w:val="000000"/>
          <w:sz w:val="23"/>
          <w:szCs w:val="23"/>
        </w:rPr>
      </w:pPr>
      <w:r w:rsidRPr="00DE3AF2">
        <w:rPr>
          <w:rFonts w:ascii="Arial" w:hAnsi="Arial" w:cs="Arial"/>
          <w:b/>
          <w:color w:val="000000"/>
          <w:sz w:val="23"/>
          <w:szCs w:val="23"/>
        </w:rPr>
        <w:t>V. Antecedentes de liberación del OGM en otros países</w:t>
      </w:r>
    </w:p>
    <w:p w:rsidR="00DE3AF2" w:rsidRDefault="00DE3AF2" w:rsidP="00997FA8">
      <w:pPr>
        <w:autoSpaceDE w:val="0"/>
        <w:autoSpaceDN w:val="0"/>
        <w:adjustRightInd w:val="0"/>
        <w:spacing w:after="0" w:line="360" w:lineRule="auto"/>
        <w:jc w:val="both"/>
        <w:rPr>
          <w:rFonts w:ascii="Arial" w:hAnsi="Arial" w:cs="Arial"/>
          <w:color w:val="000000"/>
          <w:sz w:val="23"/>
          <w:szCs w:val="23"/>
        </w:rPr>
      </w:pPr>
      <w:r>
        <w:rPr>
          <w:rFonts w:ascii="Arial" w:hAnsi="Arial" w:cs="Arial"/>
          <w:color w:val="000000"/>
          <w:sz w:val="23"/>
          <w:szCs w:val="23"/>
        </w:rPr>
        <w:t>Por favor, considere que este desarrollo nacional no ha sido ensayado fuera del país. Su diseño ad hoc al problema que representa el HLB fue concebido en base a la demanda del sector.</w:t>
      </w:r>
    </w:p>
    <w:p w:rsidR="00DE3AF2" w:rsidRDefault="00DE3AF2" w:rsidP="002A3594">
      <w:pPr>
        <w:autoSpaceDE w:val="0"/>
        <w:autoSpaceDN w:val="0"/>
        <w:adjustRightInd w:val="0"/>
        <w:spacing w:after="0" w:line="360" w:lineRule="auto"/>
        <w:rPr>
          <w:rFonts w:ascii="Arial" w:hAnsi="Arial" w:cs="Arial"/>
          <w:b/>
          <w:bCs/>
          <w:color w:val="000000"/>
          <w:sz w:val="23"/>
          <w:szCs w:val="23"/>
        </w:rPr>
      </w:pPr>
    </w:p>
    <w:p w:rsidR="00DE3AF2" w:rsidRDefault="00DE3AF2" w:rsidP="002A3594">
      <w:pPr>
        <w:autoSpaceDE w:val="0"/>
        <w:autoSpaceDN w:val="0"/>
        <w:adjustRightInd w:val="0"/>
        <w:spacing w:after="0" w:line="360" w:lineRule="auto"/>
        <w:rPr>
          <w:rFonts w:ascii="Arial" w:hAnsi="Arial" w:cs="Arial"/>
          <w:b/>
          <w:bCs/>
          <w:color w:val="000000"/>
          <w:sz w:val="23"/>
          <w:szCs w:val="23"/>
        </w:rPr>
      </w:pPr>
      <w:r>
        <w:rPr>
          <w:rFonts w:ascii="Arial" w:hAnsi="Arial" w:cs="Arial"/>
          <w:b/>
          <w:bCs/>
          <w:color w:val="000000"/>
          <w:sz w:val="23"/>
          <w:szCs w:val="23"/>
        </w:rPr>
        <w:t>VI. Consideraciones sobre los riesgos de las alternativas tecnológicas</w:t>
      </w:r>
    </w:p>
    <w:p w:rsidR="00DE3AF2" w:rsidRPr="00997FA8" w:rsidRDefault="00997FA8" w:rsidP="00997FA8">
      <w:pPr>
        <w:autoSpaceDE w:val="0"/>
        <w:autoSpaceDN w:val="0"/>
        <w:adjustRightInd w:val="0"/>
        <w:spacing w:after="0" w:line="360" w:lineRule="auto"/>
        <w:jc w:val="both"/>
        <w:rPr>
          <w:rFonts w:ascii="Arial" w:hAnsi="Arial" w:cs="Arial"/>
          <w:bCs/>
          <w:color w:val="000000"/>
          <w:sz w:val="23"/>
          <w:szCs w:val="23"/>
        </w:rPr>
      </w:pPr>
      <w:r w:rsidRPr="00997FA8">
        <w:rPr>
          <w:rFonts w:ascii="Arial" w:hAnsi="Arial" w:cs="Arial"/>
          <w:bCs/>
          <w:color w:val="000000"/>
          <w:sz w:val="23"/>
          <w:szCs w:val="23"/>
        </w:rPr>
        <w:t xml:space="preserve">No existe información disponible en literatura científica ni en figuras de protección intelectual que sugieran otras alternativas eficientes en el manejo y control de la enfermedad HLB en cítricos. </w:t>
      </w:r>
      <w:r>
        <w:rPr>
          <w:rFonts w:ascii="Arial" w:hAnsi="Arial" w:cs="Arial"/>
          <w:bCs/>
          <w:color w:val="000000"/>
          <w:sz w:val="23"/>
          <w:szCs w:val="23"/>
        </w:rPr>
        <w:t xml:space="preserve">Se han descrito en reuniones con productores el uso alternativo de productos con poco sustento científico, como el uso de agua magnética, ozono y descargas eléctricas. Por comunicación personal con Viveristas, estas alternativas de control no han producido los resultados esperados. EL manejo que se da en otros países de esta enfermedad consiste en reemplazar rápidamente a los árboles enfermos por nuevos, pero debido a su prolongada fase juvenil, la productividad ha disminuido sustancialmente. Un método generalizado es el empleo de grandes cantidades de fertilizantes tanto sistémicos como radiculares. Esta estrategia aunque aumenta el manejo del cultivo, si permite retardar los síntomas, </w:t>
      </w:r>
      <w:r>
        <w:rPr>
          <w:rFonts w:ascii="Arial" w:hAnsi="Arial" w:cs="Arial"/>
          <w:bCs/>
          <w:color w:val="000000"/>
          <w:sz w:val="23"/>
          <w:szCs w:val="23"/>
        </w:rPr>
        <w:lastRenderedPageBreak/>
        <w:t>debido a que la absorción de fósforo es muy limitada</w:t>
      </w:r>
      <w:r w:rsidR="00DD0FF7">
        <w:rPr>
          <w:rFonts w:ascii="Arial" w:hAnsi="Arial" w:cs="Arial"/>
          <w:bCs/>
          <w:color w:val="000000"/>
          <w:sz w:val="23"/>
          <w:szCs w:val="23"/>
        </w:rPr>
        <w:t xml:space="preserve"> por el sistema radicular de plantas enfermas con HLB.</w:t>
      </w:r>
    </w:p>
    <w:p w:rsidR="00DE3AF2" w:rsidRDefault="00DE3AF2" w:rsidP="002A3594">
      <w:pPr>
        <w:autoSpaceDE w:val="0"/>
        <w:autoSpaceDN w:val="0"/>
        <w:adjustRightInd w:val="0"/>
        <w:spacing w:after="0" w:line="360" w:lineRule="auto"/>
        <w:rPr>
          <w:rFonts w:ascii="Arial" w:hAnsi="Arial" w:cs="Arial"/>
          <w:b/>
          <w:bCs/>
          <w:color w:val="000000"/>
          <w:sz w:val="23"/>
          <w:szCs w:val="23"/>
        </w:rPr>
      </w:pPr>
    </w:p>
    <w:p w:rsidR="00DE3AF2" w:rsidRDefault="00DE3AF2" w:rsidP="002A3594">
      <w:pPr>
        <w:autoSpaceDE w:val="0"/>
        <w:autoSpaceDN w:val="0"/>
        <w:adjustRightInd w:val="0"/>
        <w:spacing w:after="0" w:line="360" w:lineRule="auto"/>
        <w:rPr>
          <w:rFonts w:ascii="Arial" w:hAnsi="Arial" w:cs="Arial"/>
          <w:b/>
          <w:bCs/>
          <w:color w:val="000000"/>
          <w:sz w:val="23"/>
          <w:szCs w:val="23"/>
        </w:rPr>
      </w:pPr>
      <w:r>
        <w:rPr>
          <w:rFonts w:ascii="Arial" w:hAnsi="Arial" w:cs="Arial"/>
          <w:b/>
          <w:bCs/>
          <w:color w:val="000000"/>
          <w:sz w:val="23"/>
          <w:szCs w:val="23"/>
        </w:rPr>
        <w:t>VII. Número de Autorización Expedida por el Sector Salud</w:t>
      </w:r>
    </w:p>
    <w:p w:rsidR="00DE3AF2" w:rsidRPr="00997FA8" w:rsidRDefault="00997FA8" w:rsidP="002A3594">
      <w:pPr>
        <w:autoSpaceDE w:val="0"/>
        <w:autoSpaceDN w:val="0"/>
        <w:adjustRightInd w:val="0"/>
        <w:spacing w:after="0" w:line="360" w:lineRule="auto"/>
        <w:rPr>
          <w:rFonts w:ascii="Arial" w:hAnsi="Arial" w:cs="Arial"/>
          <w:bCs/>
          <w:color w:val="000000"/>
          <w:sz w:val="23"/>
          <w:szCs w:val="23"/>
        </w:rPr>
      </w:pPr>
      <w:r w:rsidRPr="00997FA8">
        <w:rPr>
          <w:rFonts w:ascii="Arial" w:hAnsi="Arial" w:cs="Arial"/>
          <w:bCs/>
          <w:color w:val="000000"/>
          <w:sz w:val="23"/>
          <w:szCs w:val="23"/>
        </w:rPr>
        <w:t>Se está confirmando el Dossier para su presentación a COFEPRIS.</w:t>
      </w:r>
    </w:p>
    <w:p w:rsidR="00997FA8" w:rsidRDefault="00997FA8" w:rsidP="002A3594">
      <w:pPr>
        <w:autoSpaceDE w:val="0"/>
        <w:autoSpaceDN w:val="0"/>
        <w:adjustRightInd w:val="0"/>
        <w:spacing w:after="0" w:line="360" w:lineRule="auto"/>
        <w:rPr>
          <w:rFonts w:ascii="Arial" w:hAnsi="Arial" w:cs="Arial"/>
          <w:b/>
          <w:bCs/>
          <w:color w:val="000000"/>
          <w:sz w:val="23"/>
          <w:szCs w:val="23"/>
        </w:rPr>
      </w:pPr>
    </w:p>
    <w:p w:rsidR="001A4EB2" w:rsidRPr="001A4EB2" w:rsidRDefault="001A4EB2" w:rsidP="002A3594">
      <w:pPr>
        <w:autoSpaceDE w:val="0"/>
        <w:autoSpaceDN w:val="0"/>
        <w:adjustRightInd w:val="0"/>
        <w:spacing w:after="0" w:line="360" w:lineRule="auto"/>
        <w:rPr>
          <w:rFonts w:ascii="Arial" w:hAnsi="Arial" w:cs="Arial"/>
          <w:color w:val="000000"/>
          <w:sz w:val="23"/>
          <w:szCs w:val="23"/>
        </w:rPr>
      </w:pPr>
      <w:r w:rsidRPr="001A4EB2">
        <w:rPr>
          <w:rFonts w:ascii="Arial" w:hAnsi="Arial" w:cs="Arial"/>
          <w:b/>
          <w:bCs/>
          <w:color w:val="000000"/>
          <w:sz w:val="23"/>
          <w:szCs w:val="23"/>
        </w:rPr>
        <w:t xml:space="preserve">VIII. </w:t>
      </w:r>
      <w:r w:rsidR="00DD0FF7">
        <w:rPr>
          <w:rFonts w:ascii="Arial" w:hAnsi="Arial" w:cs="Arial"/>
          <w:b/>
          <w:bCs/>
          <w:color w:val="000000"/>
          <w:sz w:val="23"/>
          <w:szCs w:val="23"/>
        </w:rPr>
        <w:t>La Propuesta de la Vigencia para el Permiso y l</w:t>
      </w:r>
      <w:r w:rsidR="00DD0FF7" w:rsidRPr="001A4EB2">
        <w:rPr>
          <w:rFonts w:ascii="Arial" w:hAnsi="Arial" w:cs="Arial"/>
          <w:b/>
          <w:bCs/>
          <w:color w:val="000000"/>
          <w:sz w:val="23"/>
          <w:szCs w:val="23"/>
        </w:rPr>
        <w:t xml:space="preserve">os Elementos </w:t>
      </w:r>
    </w:p>
    <w:p w:rsidR="001A4EB2" w:rsidRPr="001A4EB2" w:rsidRDefault="00DD0FF7" w:rsidP="002A3594">
      <w:pPr>
        <w:autoSpaceDE w:val="0"/>
        <w:autoSpaceDN w:val="0"/>
        <w:adjustRightInd w:val="0"/>
        <w:spacing w:after="0" w:line="360" w:lineRule="auto"/>
        <w:rPr>
          <w:rFonts w:ascii="Arial" w:hAnsi="Arial" w:cs="Arial"/>
          <w:color w:val="000000"/>
          <w:sz w:val="23"/>
          <w:szCs w:val="23"/>
        </w:rPr>
      </w:pPr>
      <w:r>
        <w:rPr>
          <w:rFonts w:ascii="Arial" w:hAnsi="Arial" w:cs="Arial"/>
          <w:b/>
          <w:bCs/>
          <w:color w:val="000000"/>
          <w:sz w:val="23"/>
          <w:szCs w:val="23"/>
        </w:rPr>
        <w:t>Empleados p</w:t>
      </w:r>
      <w:r w:rsidRPr="001A4EB2">
        <w:rPr>
          <w:rFonts w:ascii="Arial" w:hAnsi="Arial" w:cs="Arial"/>
          <w:b/>
          <w:bCs/>
          <w:color w:val="000000"/>
          <w:sz w:val="23"/>
          <w:szCs w:val="23"/>
        </w:rPr>
        <w:t xml:space="preserve">ara Determinarla. </w:t>
      </w:r>
    </w:p>
    <w:p w:rsidR="007F2B36" w:rsidRDefault="007F2B36" w:rsidP="002A3594">
      <w:pPr>
        <w:autoSpaceDE w:val="0"/>
        <w:autoSpaceDN w:val="0"/>
        <w:adjustRightInd w:val="0"/>
        <w:spacing w:after="0" w:line="360" w:lineRule="auto"/>
        <w:rPr>
          <w:rFonts w:ascii="Arial" w:hAnsi="Arial" w:cs="Arial"/>
          <w:color w:val="000000"/>
          <w:sz w:val="23"/>
          <w:szCs w:val="23"/>
        </w:rPr>
      </w:pPr>
    </w:p>
    <w:p w:rsidR="001A4EB2" w:rsidRDefault="007F2B36" w:rsidP="002A3594">
      <w:pPr>
        <w:autoSpaceDE w:val="0"/>
        <w:autoSpaceDN w:val="0"/>
        <w:adjustRightInd w:val="0"/>
        <w:spacing w:after="0" w:line="360" w:lineRule="auto"/>
        <w:rPr>
          <w:rFonts w:ascii="Arial" w:hAnsi="Arial" w:cs="Arial"/>
          <w:color w:val="000000"/>
          <w:sz w:val="23"/>
          <w:szCs w:val="23"/>
        </w:rPr>
      </w:pPr>
      <w:r>
        <w:rPr>
          <w:rFonts w:ascii="Arial" w:hAnsi="Arial" w:cs="Arial"/>
          <w:color w:val="000000"/>
          <w:sz w:val="23"/>
          <w:szCs w:val="23"/>
        </w:rPr>
        <w:t xml:space="preserve">Debido a que es un cultivo perenne y que no se observan ciclos agrícolas para su cultivo, se solicitan al siembra experimental de inicio en </w:t>
      </w:r>
      <w:r w:rsidR="00DD0FF7">
        <w:rPr>
          <w:rFonts w:ascii="Arial" w:hAnsi="Arial" w:cs="Arial"/>
          <w:color w:val="000000"/>
          <w:sz w:val="23"/>
          <w:szCs w:val="23"/>
        </w:rPr>
        <w:t>septiembre 1ero del 2014, c</w:t>
      </w:r>
      <w:r>
        <w:rPr>
          <w:rFonts w:ascii="Arial" w:hAnsi="Arial" w:cs="Arial"/>
          <w:color w:val="000000"/>
          <w:sz w:val="23"/>
          <w:szCs w:val="23"/>
        </w:rPr>
        <w:t>on una duración de tres meses.</w:t>
      </w:r>
    </w:p>
    <w:p w:rsidR="007F2B36" w:rsidRPr="001A4EB2" w:rsidRDefault="007F2B36" w:rsidP="002A3594">
      <w:pPr>
        <w:autoSpaceDE w:val="0"/>
        <w:autoSpaceDN w:val="0"/>
        <w:adjustRightInd w:val="0"/>
        <w:spacing w:after="0" w:line="360" w:lineRule="auto"/>
        <w:rPr>
          <w:rFonts w:ascii="Arial" w:hAnsi="Arial" w:cs="Arial"/>
          <w:color w:val="000000"/>
          <w:sz w:val="23"/>
          <w:szCs w:val="23"/>
        </w:rPr>
      </w:pPr>
    </w:p>
    <w:p w:rsidR="00DD0FF7" w:rsidRDefault="00DD0FF7" w:rsidP="002A3594">
      <w:pPr>
        <w:autoSpaceDE w:val="0"/>
        <w:autoSpaceDN w:val="0"/>
        <w:adjustRightInd w:val="0"/>
        <w:spacing w:after="0" w:line="360" w:lineRule="auto"/>
        <w:rPr>
          <w:rFonts w:ascii="Arial" w:hAnsi="Arial" w:cs="Arial"/>
          <w:b/>
          <w:bCs/>
          <w:color w:val="000000"/>
          <w:sz w:val="23"/>
          <w:szCs w:val="23"/>
        </w:rPr>
      </w:pPr>
    </w:p>
    <w:p w:rsidR="00DD0FF7" w:rsidRDefault="00DD0FF7" w:rsidP="002A3594">
      <w:pPr>
        <w:autoSpaceDE w:val="0"/>
        <w:autoSpaceDN w:val="0"/>
        <w:adjustRightInd w:val="0"/>
        <w:spacing w:after="0" w:line="360" w:lineRule="auto"/>
        <w:rPr>
          <w:rFonts w:ascii="Arial" w:hAnsi="Arial" w:cs="Arial"/>
          <w:b/>
          <w:bCs/>
          <w:color w:val="000000"/>
          <w:sz w:val="23"/>
          <w:szCs w:val="23"/>
        </w:rPr>
      </w:pPr>
    </w:p>
    <w:p w:rsidR="001A4EB2" w:rsidRPr="001A4EB2" w:rsidRDefault="00DD0FF7" w:rsidP="002A3594">
      <w:pPr>
        <w:autoSpaceDE w:val="0"/>
        <w:autoSpaceDN w:val="0"/>
        <w:adjustRightInd w:val="0"/>
        <w:spacing w:after="0" w:line="360" w:lineRule="auto"/>
        <w:rPr>
          <w:rFonts w:ascii="Arial" w:hAnsi="Arial" w:cs="Arial"/>
          <w:color w:val="000000"/>
          <w:sz w:val="23"/>
          <w:szCs w:val="23"/>
        </w:rPr>
      </w:pPr>
      <w:r>
        <w:rPr>
          <w:rFonts w:ascii="Arial" w:hAnsi="Arial" w:cs="Arial"/>
          <w:b/>
          <w:bCs/>
          <w:color w:val="000000"/>
          <w:sz w:val="23"/>
          <w:szCs w:val="23"/>
        </w:rPr>
        <w:t>IX Dos</w:t>
      </w:r>
      <w:r w:rsidR="001A4EB2" w:rsidRPr="001A4EB2">
        <w:rPr>
          <w:rFonts w:ascii="Arial" w:hAnsi="Arial" w:cs="Arial"/>
          <w:b/>
          <w:bCs/>
          <w:color w:val="000000"/>
          <w:sz w:val="23"/>
          <w:szCs w:val="23"/>
        </w:rPr>
        <w:t xml:space="preserve"> C</w:t>
      </w:r>
      <w:r>
        <w:rPr>
          <w:rFonts w:ascii="Arial" w:hAnsi="Arial" w:cs="Arial"/>
          <w:b/>
          <w:bCs/>
          <w:color w:val="000000"/>
          <w:sz w:val="23"/>
          <w:szCs w:val="23"/>
        </w:rPr>
        <w:t>opias el Físico</w:t>
      </w:r>
      <w:r w:rsidR="001A4EB2" w:rsidRPr="001A4EB2">
        <w:rPr>
          <w:rFonts w:ascii="Arial" w:hAnsi="Arial" w:cs="Arial"/>
          <w:b/>
          <w:bCs/>
          <w:color w:val="000000"/>
          <w:sz w:val="23"/>
          <w:szCs w:val="23"/>
        </w:rPr>
        <w:t xml:space="preserve"> </w:t>
      </w:r>
    </w:p>
    <w:p w:rsidR="001A4EB2" w:rsidRDefault="001A4EB2" w:rsidP="002A3594">
      <w:pPr>
        <w:autoSpaceDE w:val="0"/>
        <w:autoSpaceDN w:val="0"/>
        <w:adjustRightInd w:val="0"/>
        <w:spacing w:after="0" w:line="360" w:lineRule="auto"/>
        <w:rPr>
          <w:rFonts w:ascii="Arial" w:hAnsi="Arial" w:cs="Arial"/>
          <w:color w:val="000000"/>
          <w:sz w:val="23"/>
          <w:szCs w:val="23"/>
        </w:rPr>
      </w:pPr>
      <w:r w:rsidRPr="001A4EB2">
        <w:rPr>
          <w:rFonts w:ascii="Arial" w:hAnsi="Arial" w:cs="Arial"/>
          <w:color w:val="000000"/>
          <w:sz w:val="23"/>
          <w:szCs w:val="23"/>
        </w:rPr>
        <w:t xml:space="preserve">Se anexan. </w:t>
      </w:r>
    </w:p>
    <w:p w:rsidR="000715DA" w:rsidRDefault="000715DA" w:rsidP="002A3594">
      <w:pPr>
        <w:autoSpaceDE w:val="0"/>
        <w:autoSpaceDN w:val="0"/>
        <w:adjustRightInd w:val="0"/>
        <w:spacing w:after="0" w:line="360" w:lineRule="auto"/>
        <w:rPr>
          <w:rFonts w:ascii="Arial" w:hAnsi="Arial" w:cs="Arial"/>
          <w:color w:val="000000"/>
          <w:sz w:val="23"/>
          <w:szCs w:val="23"/>
        </w:rPr>
      </w:pPr>
    </w:p>
    <w:p w:rsidR="000715DA" w:rsidRDefault="000715DA" w:rsidP="002A3594">
      <w:pPr>
        <w:autoSpaceDE w:val="0"/>
        <w:autoSpaceDN w:val="0"/>
        <w:adjustRightInd w:val="0"/>
        <w:spacing w:after="0" w:line="360" w:lineRule="auto"/>
        <w:rPr>
          <w:rFonts w:ascii="Arial" w:hAnsi="Arial" w:cs="Arial"/>
          <w:color w:val="000000"/>
          <w:sz w:val="23"/>
          <w:szCs w:val="23"/>
        </w:rPr>
      </w:pPr>
    </w:p>
    <w:p w:rsidR="000715DA" w:rsidRPr="001A4EB2" w:rsidRDefault="000715DA" w:rsidP="002A3594">
      <w:pPr>
        <w:autoSpaceDE w:val="0"/>
        <w:autoSpaceDN w:val="0"/>
        <w:adjustRightInd w:val="0"/>
        <w:spacing w:after="0" w:line="360" w:lineRule="auto"/>
        <w:rPr>
          <w:rFonts w:ascii="Arial" w:hAnsi="Arial" w:cs="Arial"/>
          <w:color w:val="000000"/>
          <w:sz w:val="23"/>
          <w:szCs w:val="23"/>
        </w:rPr>
      </w:pPr>
    </w:p>
    <w:p w:rsidR="001A4EB2" w:rsidRPr="001A4EB2" w:rsidRDefault="00DD0FF7" w:rsidP="002A3594">
      <w:pPr>
        <w:autoSpaceDE w:val="0"/>
        <w:autoSpaceDN w:val="0"/>
        <w:adjustRightInd w:val="0"/>
        <w:spacing w:after="0" w:line="360" w:lineRule="auto"/>
        <w:rPr>
          <w:rFonts w:ascii="Arial" w:hAnsi="Arial" w:cs="Arial"/>
          <w:color w:val="000000"/>
          <w:sz w:val="23"/>
          <w:szCs w:val="23"/>
        </w:rPr>
      </w:pPr>
      <w:r>
        <w:rPr>
          <w:rFonts w:ascii="Arial" w:hAnsi="Arial" w:cs="Arial"/>
          <w:b/>
          <w:bCs/>
          <w:color w:val="000000"/>
          <w:sz w:val="23"/>
          <w:szCs w:val="23"/>
        </w:rPr>
        <w:t>X Dos</w:t>
      </w:r>
      <w:r w:rsidR="001A4EB2" w:rsidRPr="001A4EB2">
        <w:rPr>
          <w:rFonts w:ascii="Arial" w:hAnsi="Arial" w:cs="Arial"/>
          <w:b/>
          <w:bCs/>
          <w:color w:val="000000"/>
          <w:sz w:val="23"/>
          <w:szCs w:val="23"/>
        </w:rPr>
        <w:t xml:space="preserve"> </w:t>
      </w:r>
      <w:r>
        <w:rPr>
          <w:rFonts w:ascii="Arial" w:hAnsi="Arial" w:cs="Arial"/>
          <w:b/>
          <w:bCs/>
          <w:color w:val="000000"/>
          <w:sz w:val="23"/>
          <w:szCs w:val="23"/>
        </w:rPr>
        <w:t>Discos con Información d</w:t>
      </w:r>
      <w:r w:rsidRPr="001A4EB2">
        <w:rPr>
          <w:rFonts w:ascii="Arial" w:hAnsi="Arial" w:cs="Arial"/>
          <w:b/>
          <w:bCs/>
          <w:color w:val="000000"/>
          <w:sz w:val="23"/>
          <w:szCs w:val="23"/>
        </w:rPr>
        <w:t>e Carácter Público</w:t>
      </w:r>
      <w:r w:rsidR="001A4EB2" w:rsidRPr="001A4EB2">
        <w:rPr>
          <w:rFonts w:ascii="Arial" w:hAnsi="Arial" w:cs="Arial"/>
          <w:b/>
          <w:bCs/>
          <w:color w:val="000000"/>
          <w:sz w:val="23"/>
          <w:szCs w:val="23"/>
        </w:rPr>
        <w:t xml:space="preserve">. </w:t>
      </w:r>
    </w:p>
    <w:p w:rsidR="000715DA" w:rsidRDefault="00DD0FF7" w:rsidP="000715DA">
      <w:pPr>
        <w:autoSpaceDE w:val="0"/>
        <w:autoSpaceDN w:val="0"/>
        <w:adjustRightInd w:val="0"/>
        <w:spacing w:after="0" w:line="360" w:lineRule="auto"/>
        <w:rPr>
          <w:rFonts w:ascii="Arial" w:hAnsi="Arial" w:cs="Arial"/>
          <w:color w:val="000000"/>
          <w:sz w:val="23"/>
          <w:szCs w:val="23"/>
        </w:rPr>
      </w:pPr>
      <w:r>
        <w:rPr>
          <w:rFonts w:ascii="Arial" w:hAnsi="Arial" w:cs="Arial"/>
          <w:color w:val="000000"/>
          <w:sz w:val="23"/>
          <w:szCs w:val="23"/>
        </w:rPr>
        <w:t>Se anexan.</w:t>
      </w:r>
      <w:r w:rsidR="001A4EB2" w:rsidRPr="001A4EB2">
        <w:rPr>
          <w:rFonts w:ascii="Arial" w:hAnsi="Arial" w:cs="Arial"/>
          <w:color w:val="000000"/>
          <w:sz w:val="23"/>
          <w:szCs w:val="23"/>
        </w:rPr>
        <w:t xml:space="preserve"> </w:t>
      </w:r>
    </w:p>
    <w:p w:rsidR="000715DA" w:rsidRDefault="000715DA" w:rsidP="000715DA">
      <w:pPr>
        <w:autoSpaceDE w:val="0"/>
        <w:autoSpaceDN w:val="0"/>
        <w:adjustRightInd w:val="0"/>
        <w:spacing w:after="0" w:line="360" w:lineRule="auto"/>
        <w:rPr>
          <w:rFonts w:ascii="Arial" w:hAnsi="Arial" w:cs="Arial"/>
          <w:color w:val="000000"/>
          <w:sz w:val="23"/>
          <w:szCs w:val="23"/>
        </w:rPr>
      </w:pPr>
    </w:p>
    <w:p w:rsidR="000715DA" w:rsidRDefault="000715DA" w:rsidP="000715DA">
      <w:pPr>
        <w:autoSpaceDE w:val="0"/>
        <w:autoSpaceDN w:val="0"/>
        <w:adjustRightInd w:val="0"/>
        <w:spacing w:after="0" w:line="360" w:lineRule="auto"/>
        <w:rPr>
          <w:rFonts w:ascii="Arial" w:hAnsi="Arial" w:cs="Arial"/>
          <w:color w:val="000000"/>
          <w:sz w:val="23"/>
          <w:szCs w:val="23"/>
        </w:rPr>
      </w:pPr>
    </w:p>
    <w:p w:rsidR="000715DA" w:rsidRDefault="000715DA" w:rsidP="000715DA">
      <w:pPr>
        <w:autoSpaceDE w:val="0"/>
        <w:autoSpaceDN w:val="0"/>
        <w:adjustRightInd w:val="0"/>
        <w:spacing w:after="0" w:line="360" w:lineRule="auto"/>
        <w:rPr>
          <w:rFonts w:ascii="Arial" w:hAnsi="Arial" w:cs="Arial"/>
          <w:color w:val="000000"/>
          <w:sz w:val="23"/>
          <w:szCs w:val="23"/>
        </w:rPr>
      </w:pPr>
    </w:p>
    <w:p w:rsidR="001A4EB2" w:rsidRPr="001A4EB2" w:rsidRDefault="001A4EB2" w:rsidP="000715DA">
      <w:pPr>
        <w:autoSpaceDE w:val="0"/>
        <w:autoSpaceDN w:val="0"/>
        <w:adjustRightInd w:val="0"/>
        <w:spacing w:after="0" w:line="360" w:lineRule="auto"/>
        <w:rPr>
          <w:rFonts w:ascii="Arial" w:hAnsi="Arial" w:cs="Arial"/>
          <w:color w:val="000000"/>
          <w:sz w:val="23"/>
          <w:szCs w:val="23"/>
        </w:rPr>
      </w:pPr>
      <w:r w:rsidRPr="001A4EB2">
        <w:rPr>
          <w:rFonts w:ascii="Arial" w:hAnsi="Arial" w:cs="Arial"/>
          <w:b/>
          <w:bCs/>
          <w:color w:val="000000"/>
          <w:sz w:val="23"/>
          <w:szCs w:val="23"/>
        </w:rPr>
        <w:t xml:space="preserve">XI </w:t>
      </w:r>
      <w:r w:rsidR="000715DA">
        <w:rPr>
          <w:rFonts w:ascii="Arial" w:hAnsi="Arial" w:cs="Arial"/>
          <w:b/>
          <w:bCs/>
          <w:color w:val="000000"/>
          <w:sz w:val="23"/>
          <w:szCs w:val="23"/>
        </w:rPr>
        <w:t>Ocho Discos con Información d</w:t>
      </w:r>
      <w:r w:rsidR="000715DA" w:rsidRPr="001A4EB2">
        <w:rPr>
          <w:rFonts w:ascii="Arial" w:hAnsi="Arial" w:cs="Arial"/>
          <w:b/>
          <w:bCs/>
          <w:color w:val="000000"/>
          <w:sz w:val="23"/>
          <w:szCs w:val="23"/>
        </w:rPr>
        <w:t xml:space="preserve">e Carácter Confidencial. </w:t>
      </w:r>
    </w:p>
    <w:p w:rsidR="001A4EB2" w:rsidRPr="001A4EB2" w:rsidRDefault="001A4EB2" w:rsidP="002A3594">
      <w:pPr>
        <w:autoSpaceDE w:val="0"/>
        <w:autoSpaceDN w:val="0"/>
        <w:adjustRightInd w:val="0"/>
        <w:spacing w:after="0" w:line="360" w:lineRule="auto"/>
        <w:rPr>
          <w:rFonts w:ascii="Arial" w:hAnsi="Arial" w:cs="Arial"/>
          <w:color w:val="000000"/>
          <w:sz w:val="23"/>
          <w:szCs w:val="23"/>
        </w:rPr>
      </w:pPr>
      <w:r w:rsidRPr="001A4EB2">
        <w:rPr>
          <w:rFonts w:ascii="Arial" w:hAnsi="Arial" w:cs="Arial"/>
          <w:color w:val="000000"/>
          <w:sz w:val="23"/>
          <w:szCs w:val="23"/>
        </w:rPr>
        <w:t xml:space="preserve">Se anexan. </w:t>
      </w:r>
    </w:p>
    <w:p w:rsidR="007F2B36" w:rsidRDefault="007F2B36" w:rsidP="002A3594">
      <w:pPr>
        <w:autoSpaceDE w:val="0"/>
        <w:autoSpaceDN w:val="0"/>
        <w:adjustRightInd w:val="0"/>
        <w:spacing w:after="0" w:line="360" w:lineRule="auto"/>
        <w:rPr>
          <w:rFonts w:ascii="Arial" w:hAnsi="Arial" w:cs="Arial"/>
          <w:color w:val="000000"/>
          <w:sz w:val="23"/>
          <w:szCs w:val="23"/>
        </w:rPr>
      </w:pPr>
    </w:p>
    <w:p w:rsidR="000715DA" w:rsidRDefault="000715DA">
      <w:pPr>
        <w:rPr>
          <w:rFonts w:ascii="Arial" w:hAnsi="Arial" w:cs="Arial"/>
          <w:color w:val="000000"/>
          <w:sz w:val="23"/>
          <w:szCs w:val="23"/>
        </w:rPr>
      </w:pPr>
      <w:r>
        <w:rPr>
          <w:rFonts w:ascii="Arial" w:hAnsi="Arial" w:cs="Arial"/>
          <w:color w:val="000000"/>
          <w:sz w:val="23"/>
          <w:szCs w:val="23"/>
        </w:rPr>
        <w:br w:type="page"/>
      </w:r>
    </w:p>
    <w:p w:rsidR="000715DA" w:rsidRPr="000715DA" w:rsidRDefault="006123AC" w:rsidP="002A3594">
      <w:pPr>
        <w:autoSpaceDE w:val="0"/>
        <w:autoSpaceDN w:val="0"/>
        <w:adjustRightInd w:val="0"/>
        <w:spacing w:after="0" w:line="360" w:lineRule="auto"/>
        <w:jc w:val="both"/>
        <w:rPr>
          <w:rFonts w:ascii="Arial" w:hAnsi="Arial" w:cs="Arial"/>
          <w:b/>
          <w:color w:val="000000"/>
          <w:sz w:val="23"/>
          <w:szCs w:val="23"/>
        </w:rPr>
      </w:pPr>
      <w:r>
        <w:rPr>
          <w:rFonts w:ascii="Arial" w:hAnsi="Arial" w:cs="Arial"/>
          <w:b/>
          <w:color w:val="000000"/>
          <w:sz w:val="23"/>
          <w:szCs w:val="23"/>
        </w:rPr>
        <w:lastRenderedPageBreak/>
        <w:t xml:space="preserve">XII. </w:t>
      </w:r>
      <w:r w:rsidR="000715DA" w:rsidRPr="000715DA">
        <w:rPr>
          <w:rFonts w:ascii="Arial" w:hAnsi="Arial" w:cs="Arial"/>
          <w:b/>
          <w:color w:val="000000"/>
          <w:sz w:val="23"/>
          <w:szCs w:val="23"/>
        </w:rPr>
        <w:t>Información Adicional</w:t>
      </w:r>
    </w:p>
    <w:p w:rsidR="001A4EB2" w:rsidRDefault="000715DA" w:rsidP="002A3594">
      <w:pPr>
        <w:autoSpaceDE w:val="0"/>
        <w:autoSpaceDN w:val="0"/>
        <w:adjustRightInd w:val="0"/>
        <w:spacing w:after="0" w:line="360" w:lineRule="auto"/>
        <w:jc w:val="both"/>
        <w:rPr>
          <w:rFonts w:ascii="Arial" w:hAnsi="Arial" w:cs="Arial"/>
          <w:color w:val="000000"/>
          <w:sz w:val="23"/>
          <w:szCs w:val="23"/>
        </w:rPr>
      </w:pPr>
      <w:r>
        <w:rPr>
          <w:rFonts w:ascii="Arial" w:hAnsi="Arial" w:cs="Arial"/>
          <w:color w:val="000000"/>
          <w:sz w:val="23"/>
          <w:szCs w:val="23"/>
        </w:rPr>
        <w:t>E</w:t>
      </w:r>
      <w:r w:rsidR="001A4EB2" w:rsidRPr="00C66D5E">
        <w:rPr>
          <w:rFonts w:ascii="Arial" w:hAnsi="Arial" w:cs="Arial"/>
          <w:color w:val="000000"/>
          <w:sz w:val="23"/>
          <w:szCs w:val="23"/>
        </w:rPr>
        <w:t>n caso de que el promovente lo considere adecuado, otros estudios o consideraciones en los que se analicen tanto la contribución del OGM a la solución de problemas ambientales, sociales, productivos o de otra índole, así como las consideraciones socioeconómicas que existan respecto de la liberación de OGMs al ambiente. Estos análisis deberán estar sustentados en evidencias científicas y técnicas, en los antecedentes sobre uso, producción y consumo, y podrán ser considerados por las secretarías competentes como elementos adicionales para decidir sobre la liberación experimental al ambiente, y consecuentes liberaciones al ambiente en programa piloto y comercial, respectivamente, del OGM de que se trata,</w:t>
      </w:r>
      <w:r w:rsidR="001A4EB2" w:rsidRPr="001A4EB2">
        <w:rPr>
          <w:rFonts w:ascii="Arial" w:hAnsi="Arial" w:cs="Arial"/>
          <w:color w:val="000000"/>
          <w:sz w:val="23"/>
          <w:szCs w:val="23"/>
        </w:rPr>
        <w:t xml:space="preserve"> </w:t>
      </w:r>
    </w:p>
    <w:p w:rsidR="007F2B36" w:rsidRDefault="007F2B36" w:rsidP="002A3594">
      <w:pPr>
        <w:autoSpaceDE w:val="0"/>
        <w:autoSpaceDN w:val="0"/>
        <w:adjustRightInd w:val="0"/>
        <w:spacing w:after="0" w:line="360" w:lineRule="auto"/>
        <w:rPr>
          <w:rFonts w:ascii="Arial" w:hAnsi="Arial" w:cs="Arial"/>
          <w:color w:val="000000"/>
          <w:sz w:val="23"/>
          <w:szCs w:val="23"/>
        </w:rPr>
      </w:pPr>
    </w:p>
    <w:p w:rsidR="003D2B9A" w:rsidRPr="00026D4C" w:rsidRDefault="006123AC" w:rsidP="002A3594">
      <w:pPr>
        <w:spacing w:line="360" w:lineRule="auto"/>
        <w:ind w:right="-93"/>
        <w:jc w:val="both"/>
        <w:rPr>
          <w:rFonts w:ascii="Arial" w:hAnsi="Arial" w:cs="Arial"/>
          <w:b/>
          <w:sz w:val="24"/>
          <w:szCs w:val="24"/>
        </w:rPr>
      </w:pPr>
      <w:r>
        <w:rPr>
          <w:rFonts w:ascii="Arial" w:hAnsi="Arial" w:cs="Arial"/>
          <w:b/>
          <w:sz w:val="24"/>
          <w:szCs w:val="24"/>
        </w:rPr>
        <w:t xml:space="preserve">XII.1 </w:t>
      </w:r>
      <w:r w:rsidR="00177252" w:rsidRPr="00026D4C">
        <w:rPr>
          <w:rFonts w:ascii="Arial" w:hAnsi="Arial" w:cs="Arial"/>
          <w:b/>
          <w:sz w:val="24"/>
          <w:szCs w:val="24"/>
        </w:rPr>
        <w:t>Información</w:t>
      </w:r>
      <w:r w:rsidR="00C66D5E">
        <w:rPr>
          <w:rFonts w:ascii="Arial" w:hAnsi="Arial" w:cs="Arial"/>
          <w:b/>
          <w:sz w:val="24"/>
          <w:szCs w:val="24"/>
        </w:rPr>
        <w:t xml:space="preserve"> de la biología de cítricos</w:t>
      </w:r>
      <w:r>
        <w:rPr>
          <w:rFonts w:ascii="Arial" w:hAnsi="Arial" w:cs="Arial"/>
          <w:b/>
          <w:sz w:val="24"/>
          <w:szCs w:val="24"/>
        </w:rPr>
        <w:t xml:space="preserve"> y HLB</w:t>
      </w:r>
    </w:p>
    <w:p w:rsidR="00567FCC" w:rsidRPr="00026D4C" w:rsidRDefault="00567FCC" w:rsidP="002A3594">
      <w:pPr>
        <w:spacing w:line="360" w:lineRule="auto"/>
        <w:ind w:right="-93"/>
        <w:jc w:val="both"/>
        <w:rPr>
          <w:rFonts w:ascii="Arial" w:hAnsi="Arial" w:cs="Arial"/>
          <w:b/>
          <w:sz w:val="24"/>
          <w:szCs w:val="24"/>
        </w:rPr>
      </w:pPr>
      <w:r w:rsidRPr="00026D4C">
        <w:rPr>
          <w:rFonts w:ascii="Arial" w:hAnsi="Arial" w:cs="Arial"/>
          <w:b/>
          <w:sz w:val="24"/>
          <w:szCs w:val="24"/>
        </w:rPr>
        <w:t>Producción de cítricos en México y el mundo.</w:t>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sz w:val="24"/>
          <w:szCs w:val="24"/>
        </w:rPr>
        <w:t>En la producción nacional de limón, naranja, mandarina, toronja y lima participan 67 mil familias mexicanas, donde se generan 70 mil empleos directos y 250 mil indirectos. La citricultura es una actividad redituable en aspectos económicos para el productor, ecológicos al no utilizar demasiados agroquímicos como en otros cultivos e importante desde el punto de vista social al generar mano de obra durante todo el año (SENASICA, 2008).</w:t>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sz w:val="24"/>
          <w:szCs w:val="24"/>
        </w:rPr>
        <w:t>Por otro lado, de acuerdo a la FAO, en el año 2011, el limón mexicano (junto con el persa), ocuparon el noveno lugar en importancia comercial dentro de nuestro país (FAOSTAT, 2013). Mientras que a nivel mundial, la FAO reporta que en el año 2011, México ocupó el primer lugar en producción de limones, desplazando así a la India al segundo puesto, seguidos de China, Argentina, Brasil y Estados Unidos.</w:t>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sz w:val="24"/>
          <w:szCs w:val="24"/>
        </w:rPr>
        <w:t>En la Tabla 2 se detallan los principales productores de limón en el mundo en el 2011, de acuerdo a datos de la FAO.</w:t>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noProof/>
          <w:sz w:val="24"/>
          <w:szCs w:val="24"/>
          <w:lang w:eastAsia="es-MX"/>
        </w:rPr>
        <w:lastRenderedPageBreak/>
        <w:drawing>
          <wp:inline distT="0" distB="0" distL="0" distR="0" wp14:anchorId="36B8668F" wp14:editId="5B435A82">
            <wp:extent cx="5479084" cy="2910763"/>
            <wp:effectExtent l="0" t="0" r="762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3048" t="28074" r="6860" b="24594"/>
                    <a:stretch/>
                  </pic:blipFill>
                  <pic:spPr bwMode="auto">
                    <a:xfrm>
                      <a:off x="0" y="0"/>
                      <a:ext cx="5483365" cy="2913037"/>
                    </a:xfrm>
                    <a:prstGeom prst="rect">
                      <a:avLst/>
                    </a:prstGeom>
                    <a:ln>
                      <a:noFill/>
                    </a:ln>
                    <a:extLst>
                      <a:ext uri="{53640926-AAD7-44D8-BBD7-CCE9431645EC}">
                        <a14:shadowObscured xmlns:a14="http://schemas.microsoft.com/office/drawing/2010/main"/>
                      </a:ext>
                    </a:extLst>
                  </pic:spPr>
                </pic:pic>
              </a:graphicData>
            </a:graphic>
          </wp:inline>
        </w:drawing>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sz w:val="24"/>
          <w:szCs w:val="24"/>
        </w:rPr>
        <w:t>Por todo lo anterior, la importancia de la producción de limón en nuestro país es tanto económico, laboral y social, en esto radica la importancia de las investigaciones y estudios sobre los problemas que pudieran afectar la producción de éste fruto.</w:t>
      </w:r>
    </w:p>
    <w:p w:rsidR="00567FCC" w:rsidRPr="000715DA" w:rsidRDefault="00567FCC" w:rsidP="002A3594">
      <w:pPr>
        <w:spacing w:line="360" w:lineRule="auto"/>
        <w:ind w:right="-93"/>
        <w:jc w:val="both"/>
        <w:rPr>
          <w:rFonts w:ascii="Arial" w:hAnsi="Arial" w:cs="Arial"/>
          <w:b/>
          <w:sz w:val="24"/>
          <w:szCs w:val="24"/>
        </w:rPr>
      </w:pPr>
      <w:r w:rsidRPr="000715DA">
        <w:rPr>
          <w:rFonts w:ascii="Arial" w:hAnsi="Arial" w:cs="Arial"/>
          <w:b/>
          <w:sz w:val="24"/>
          <w:szCs w:val="24"/>
        </w:rPr>
        <w:t>Huanglongbing, la enfermedad de los cítricos.</w:t>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sz w:val="24"/>
          <w:szCs w:val="24"/>
        </w:rPr>
        <w:t>El limón puede ser afectado por diversas enfermedades infecciosas (bióticas) y no infecciosas (abióticas) siendo las primeras causadas por hongos, bacterias, nematodos y otros organismos; en tanto que las enfermedades abióticas son provocadas por condiciones ambientales adversas, defectos genéticos, factores nutricionales y toxicidad provocada por uso inadecuado de productos químicos que reducen tanto la producción como la calidad de la fruta.</w:t>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sz w:val="24"/>
          <w:szCs w:val="24"/>
        </w:rPr>
        <w:t>Entre las enfermedades más devastadoras que existen actualmente en el limón, y en general en todos los cítricos, es la denominada Huanglongbing, ta</w:t>
      </w:r>
      <w:r w:rsidR="00F1727C" w:rsidRPr="00026D4C">
        <w:rPr>
          <w:rFonts w:ascii="Arial" w:hAnsi="Arial" w:cs="Arial"/>
          <w:sz w:val="24"/>
          <w:szCs w:val="24"/>
        </w:rPr>
        <w:t xml:space="preserve">mbién conocida como </w:t>
      </w:r>
      <w:r w:rsidR="000163F7">
        <w:rPr>
          <w:rFonts w:ascii="Arial" w:hAnsi="Arial" w:cs="Arial"/>
          <w:sz w:val="24"/>
          <w:szCs w:val="24"/>
        </w:rPr>
        <w:t xml:space="preserve">citrus </w:t>
      </w:r>
      <w:r w:rsidR="00F1727C" w:rsidRPr="00026D4C">
        <w:rPr>
          <w:rFonts w:ascii="Arial" w:hAnsi="Arial" w:cs="Arial"/>
          <w:sz w:val="24"/>
          <w:szCs w:val="24"/>
        </w:rPr>
        <w:t xml:space="preserve">greening, </w:t>
      </w:r>
      <w:r w:rsidRPr="00026D4C">
        <w:rPr>
          <w:rFonts w:ascii="Arial" w:hAnsi="Arial" w:cs="Arial"/>
          <w:sz w:val="24"/>
          <w:szCs w:val="24"/>
        </w:rPr>
        <w:t>dragón amarillo o simplemente HLB. Esta enfermedad ha cobrado una gran importancia en nuestro país y en el resto del mundo, ya que es considerada como la principal amenaza a la producción de cítricos a nivel mundial.</w:t>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sz w:val="24"/>
          <w:szCs w:val="24"/>
        </w:rPr>
        <w:lastRenderedPageBreak/>
        <w:t xml:space="preserve">El HLB es causado por </w:t>
      </w:r>
      <w:r w:rsidRPr="00026D4C">
        <w:rPr>
          <w:rFonts w:ascii="Arial" w:hAnsi="Arial" w:cs="Arial"/>
          <w:i/>
          <w:sz w:val="24"/>
          <w:szCs w:val="24"/>
        </w:rPr>
        <w:t>Candidatus</w:t>
      </w:r>
      <w:r w:rsidRPr="00026D4C">
        <w:rPr>
          <w:rFonts w:ascii="Arial" w:hAnsi="Arial" w:cs="Arial"/>
          <w:sz w:val="24"/>
          <w:szCs w:val="24"/>
        </w:rPr>
        <w:t xml:space="preserve"> Liberibacter spp., una bacteria gram negativa restringida al floema de las plantas de cítricos. El HLB se considera la enfermedad más destructiva para los cítricos en el mundo debido a que causa la muerte del árbol de forma inevitable, sin que exista cura alguna (Halbert y Manjunath, 2004).</w:t>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sz w:val="24"/>
          <w:szCs w:val="24"/>
        </w:rPr>
        <w:t xml:space="preserve">La bacteria se transmite a través del psílido asiático </w:t>
      </w:r>
      <w:r w:rsidRPr="00026D4C">
        <w:rPr>
          <w:rFonts w:ascii="Arial" w:hAnsi="Arial" w:cs="Arial"/>
          <w:i/>
          <w:sz w:val="24"/>
          <w:szCs w:val="24"/>
        </w:rPr>
        <w:t>Diaphorina citri</w:t>
      </w:r>
      <w:r w:rsidRPr="00026D4C">
        <w:rPr>
          <w:rFonts w:ascii="Arial" w:hAnsi="Arial" w:cs="Arial"/>
          <w:sz w:val="24"/>
          <w:szCs w:val="24"/>
        </w:rPr>
        <w:t xml:space="preserve"> y el psilido africano </w:t>
      </w:r>
      <w:r w:rsidRPr="00026D4C">
        <w:rPr>
          <w:rFonts w:ascii="Arial" w:hAnsi="Arial" w:cs="Arial"/>
          <w:i/>
          <w:sz w:val="24"/>
          <w:szCs w:val="24"/>
        </w:rPr>
        <w:t>Tryoza erytreae</w:t>
      </w:r>
      <w:r w:rsidRPr="00026D4C">
        <w:rPr>
          <w:rFonts w:ascii="Arial" w:hAnsi="Arial" w:cs="Arial"/>
          <w:sz w:val="24"/>
          <w:szCs w:val="24"/>
        </w:rPr>
        <w:t>; los cuales al alimentarse de la savia de una planta infectada, pueden extraer a la bacteria y luego transmitirla a plantas sanas de cítricos. El HLB no se transmite a través de la ropa, herramientas de trabajo, viento, etc., y no afecta a las personas y animales. El HLB afecta a la familia de las Rutáceas como a la lima mexicana, naranja agria y dulce, limón y toronja.</w:t>
      </w:r>
    </w:p>
    <w:p w:rsidR="00567FCC" w:rsidRPr="00026D4C" w:rsidRDefault="00567FCC" w:rsidP="002A3594">
      <w:pPr>
        <w:spacing w:line="360" w:lineRule="auto"/>
        <w:ind w:right="-93"/>
        <w:jc w:val="both"/>
        <w:rPr>
          <w:rFonts w:ascii="Arial" w:hAnsi="Arial" w:cs="Arial"/>
          <w:sz w:val="24"/>
          <w:szCs w:val="24"/>
        </w:rPr>
      </w:pPr>
      <w:r w:rsidRPr="00026D4C">
        <w:rPr>
          <w:rFonts w:ascii="Arial" w:hAnsi="Arial" w:cs="Arial"/>
          <w:sz w:val="24"/>
          <w:szCs w:val="24"/>
        </w:rPr>
        <w:t xml:space="preserve">Se han identificado tres especies causantes de HLB: la </w:t>
      </w:r>
      <w:r w:rsidR="00F1727C" w:rsidRPr="00026D4C">
        <w:rPr>
          <w:rFonts w:ascii="Arial" w:hAnsi="Arial" w:cs="Arial"/>
          <w:sz w:val="24"/>
          <w:szCs w:val="24"/>
        </w:rPr>
        <w:t>americana, la africana y la asiá</w:t>
      </w:r>
      <w:r w:rsidRPr="00026D4C">
        <w:rPr>
          <w:rFonts w:ascii="Arial" w:hAnsi="Arial" w:cs="Arial"/>
          <w:sz w:val="24"/>
          <w:szCs w:val="24"/>
        </w:rPr>
        <w:t xml:space="preserve">tica. En México se ha reportado que el causante de la enfermedad es </w:t>
      </w:r>
      <w:r w:rsidRPr="00026D4C">
        <w:rPr>
          <w:rFonts w:ascii="Arial" w:hAnsi="Arial" w:cs="Arial"/>
          <w:i/>
          <w:sz w:val="24"/>
          <w:szCs w:val="24"/>
        </w:rPr>
        <w:t>Candidatus</w:t>
      </w:r>
      <w:r w:rsidRPr="00026D4C">
        <w:rPr>
          <w:rFonts w:ascii="Arial" w:hAnsi="Arial" w:cs="Arial"/>
          <w:sz w:val="24"/>
          <w:szCs w:val="24"/>
        </w:rPr>
        <w:t xml:space="preserve"> Liberibacter asiaticus (SENASICA, 2013).</w:t>
      </w:r>
    </w:p>
    <w:p w:rsidR="00F1727C" w:rsidRPr="000715DA" w:rsidRDefault="00F1727C" w:rsidP="002A3594">
      <w:pPr>
        <w:spacing w:line="360" w:lineRule="auto"/>
        <w:ind w:right="-93"/>
        <w:jc w:val="both"/>
        <w:rPr>
          <w:rFonts w:ascii="Arial" w:hAnsi="Arial" w:cs="Arial"/>
          <w:b/>
          <w:sz w:val="24"/>
          <w:szCs w:val="24"/>
        </w:rPr>
      </w:pPr>
      <w:r w:rsidRPr="000715DA">
        <w:rPr>
          <w:rFonts w:ascii="Arial" w:hAnsi="Arial" w:cs="Arial"/>
          <w:b/>
          <w:sz w:val="24"/>
          <w:szCs w:val="24"/>
        </w:rPr>
        <w:t>Reseña histórica de HLB</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t>Se cree que los primeros reportes de la enfermedad ocurrieron en los años de 1800, en las provincias de la India y China, considerados como los lugares citrícolas más antiguos del mundo, en donde posiblemente la bacteria se encontraba en plantas rutáceas silvestres, donde la enfermedad se desarrolló conforme la expansión del comercio agrícola. Lo mismo puedo haber ocurrido para el género africano (da Graça, J. V., 2008).</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t>Para el año 1919, Reinking describe la enfermedad por primera vez en China. Durante los primeros 50 años del siglo XX, la enfermedad era conocida con varios nombres incluyendo “greening”, y varios investigadores atribuían como causas de la enfermedad: toxicidad severa por minerales (van der Merwe y Andersen, 1937), deficiencia de zinc en los árboles (Lee, H. et al., 1921), desórdenes fisiológicos como deficiencias de agua, infestación de nematodos en el suelo e inclusive infección por el hongo Fusarium sp. (Lin, C.K., 1956; Bové, J.M., 2006).</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lastRenderedPageBreak/>
        <w:t>Se considera que Lin, K.H. (1956), por primera vez reveló la naturaleza de la enfermedad, al demostrar que ésta podía transmitirse por inoculación con injertos positivos a la enfermedad. Adicionalmente, asumió la existencia de un vector transmisor de la enfermedad, para poder explicar la infección de aquellos árboles que no habían sido injertados. Unos años después, en Sudáfrica, los investigadores McClean y Oberholzer (1965a, 1965b), corroboraron que HLB es transmitida por inoculación con injertos y también por el vector africano Trioza erytreae. Para el año 1967, Martínez y Wallace, demostraron que también la enfermedad podría ser transmitida por el psyllido asiáticos Diaphorina citri (Bove, 2006).</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t>Para el año 1967, estaba demostrado que la enfermedad se transmitía por inoculación con injertos y también por dos vectores psílidos. Estos resultados indicaban que el patógeno causante de la enfermedad era un virus, el único agente conocido en esa época capaz de infectar plantas y ser transmitido de estas maneras posibles. En ese mismo año, varios investigadores empezaron la búsqueda de este agente en plantas infectadas con el microscopio electrónico, encontrando evidencia del agente causal en los tubos cribosos de las plantas infectadas, haciendo pensar que se trataba de un micoplasma, un tipo especial de bacteria que carece de pared celular (Laflèche, D. y Bové, J.M., 1970a y 1970b). Sin embargo, esto fue rápidamente descartado cuando se observó que la membrana citoplasmática estaba rodeada por una capa, que después se demostró con varias técnicas</w:t>
      </w:r>
      <w:r w:rsidR="003D2B9A" w:rsidRPr="00026D4C">
        <w:rPr>
          <w:rFonts w:ascii="Arial" w:hAnsi="Arial" w:cs="Arial"/>
          <w:sz w:val="24"/>
          <w:szCs w:val="24"/>
        </w:rPr>
        <w:t xml:space="preserve"> </w:t>
      </w:r>
      <w:r w:rsidRPr="00026D4C">
        <w:rPr>
          <w:rFonts w:ascii="Arial" w:hAnsi="Arial" w:cs="Arial"/>
          <w:sz w:val="24"/>
          <w:szCs w:val="24"/>
        </w:rPr>
        <w:t>de tinción, se trataba de una pared celular típica de una bacteria gran negativa, compuesta por una membrana y peptidoglicano (Garnier, M. y Bové, J.M., 1977, Garnier, M., et al., 1984a y 1984b, Bové, J.M., 2006). A la fecha esta bacteria a la que se le ha denominado Candidatus Liberibacter no ha podido ser cultivado en medios sintéticos, lo que ha complicado su estudio.</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t xml:space="preserve">Para 1980, el grupo de investigación de Bové, J.M., evidenciaron indirectamente la naturaleza gram negativa de la bacteria causal del HLB, estudiando el efecto de la penicilina en árboles infectados con HLB. La penicilina inhibe los últimos pasos (transpeptidación) de la biosíntesis del peptidoglicano, componente esencial de la </w:t>
      </w:r>
      <w:r w:rsidRPr="00026D4C">
        <w:rPr>
          <w:rFonts w:ascii="Arial" w:hAnsi="Arial" w:cs="Arial"/>
          <w:sz w:val="24"/>
          <w:szCs w:val="24"/>
        </w:rPr>
        <w:lastRenderedPageBreak/>
        <w:t>pared celular de las bacterias gram negativas. El resultado del estudio fue concluyente al observarse efectos benéficos en los árboles infectados, disminuyendo la gravedad de los síntomas, además de que ninguna bacteria fue encontrada en los tubos cribosos después del tratamiento con penicilina. Sin embargo, una vez que se suspendió dicho tratamiento, los síntomas reaparecieron (Bové, J.M., 2006).</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t>En 1994, Jagoueix, S., et al., propusieron en base a la secuencia del 16S rDNA y del operon β, que la bacteria causal del HLB es miembro de la subdivisión Proteobacteriacea.</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t>En el 2004 se detectó la especie asiaticus en la localidad de Araracuara, Sao Paulo, Brasil (Coleta-Filho, H.D. et al., 2004). Posteriormente, se reportó una nueva especie de Candidatus Liberibacter en cítricos a la que se nombró Ca. L. americanus (Teixeira, C.D., et al., 2005). En 2005, se reportó a Ca. L. asiaticus en Florida, EUA. Sólo cinco años después, en el 2009 se detectó la enfermedad por primera vez en México en la localidad de Tizimín Mérida, Yucatán. Actualmente, SENASICA reporta que el HLB está presente en 13 de los 23 estados citrícolas del país (SENASICA, 2013).</w:t>
      </w:r>
    </w:p>
    <w:p w:rsidR="00F1727C" w:rsidRPr="00026D4C" w:rsidRDefault="00F1727C" w:rsidP="002A3594">
      <w:pPr>
        <w:spacing w:line="360" w:lineRule="auto"/>
        <w:ind w:right="-93"/>
        <w:jc w:val="both"/>
        <w:rPr>
          <w:rFonts w:ascii="Arial" w:hAnsi="Arial" w:cs="Arial"/>
          <w:sz w:val="24"/>
          <w:szCs w:val="24"/>
        </w:rPr>
      </w:pPr>
    </w:p>
    <w:p w:rsidR="00F1727C" w:rsidRPr="000715DA" w:rsidRDefault="00F1727C" w:rsidP="002A3594">
      <w:pPr>
        <w:spacing w:line="360" w:lineRule="auto"/>
        <w:ind w:right="-93"/>
        <w:jc w:val="both"/>
        <w:rPr>
          <w:rFonts w:ascii="Arial" w:hAnsi="Arial" w:cs="Arial"/>
          <w:b/>
          <w:sz w:val="24"/>
          <w:szCs w:val="24"/>
        </w:rPr>
      </w:pPr>
      <w:r w:rsidRPr="000715DA">
        <w:rPr>
          <w:rFonts w:ascii="Arial" w:hAnsi="Arial" w:cs="Arial"/>
          <w:b/>
          <w:sz w:val="24"/>
          <w:szCs w:val="24"/>
        </w:rPr>
        <w:t>Síntomas característicos de HLB</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t>De acuerdo a varios autores consultados, no existe un solo síntoma característico de la enfermedad sino más bien un conjunto de síntomas, que se presentan en todos los cítricos y en todas las formas de la enfermedad ya sea americana, asiática o africana, los cuales grupalmente pueden descartar otros trastornos con los que suele ser confundidos los síntomas, como es el caso de deficiencia de minerales como el zinc.</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t>La siguiente tabla detalla los síntomas característicos de HLB en árboles citrícolas:</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sz w:val="24"/>
          <w:szCs w:val="24"/>
        </w:rPr>
        <w:lastRenderedPageBreak/>
        <w:t xml:space="preserve"> Síntomas característicos de HLB. Fuente: Elaboración propia con información de Bové, J.M., 2006; da Graca, J.V. et al., 2004; Gottwald, T.R., et al., 2007; Martinelli, F. et al., 2012, Quinto Informe de Labores, Senasica, 2011.</w:t>
      </w:r>
    </w:p>
    <w:p w:rsidR="00F1727C" w:rsidRPr="00026D4C" w:rsidRDefault="00F1727C" w:rsidP="002A3594">
      <w:pPr>
        <w:spacing w:line="360" w:lineRule="auto"/>
        <w:ind w:right="-93"/>
        <w:jc w:val="both"/>
        <w:rPr>
          <w:rFonts w:ascii="Arial" w:hAnsi="Arial" w:cs="Arial"/>
          <w:sz w:val="24"/>
          <w:szCs w:val="24"/>
        </w:rPr>
      </w:pPr>
      <w:r w:rsidRPr="00026D4C">
        <w:rPr>
          <w:rFonts w:ascii="Arial" w:hAnsi="Arial" w:cs="Arial"/>
          <w:noProof/>
          <w:sz w:val="24"/>
          <w:szCs w:val="24"/>
          <w:lang w:eastAsia="es-MX"/>
        </w:rPr>
        <w:drawing>
          <wp:inline distT="0" distB="0" distL="0" distR="0" wp14:anchorId="41F40FE8" wp14:editId="4B131996">
            <wp:extent cx="5311401" cy="4279392"/>
            <wp:effectExtent l="0" t="0" r="381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047" t="16008" r="6599" b="11833"/>
                    <a:stretch/>
                  </pic:blipFill>
                  <pic:spPr bwMode="auto">
                    <a:xfrm>
                      <a:off x="0" y="0"/>
                      <a:ext cx="5315930" cy="4283041"/>
                    </a:xfrm>
                    <a:prstGeom prst="rect">
                      <a:avLst/>
                    </a:prstGeom>
                    <a:ln>
                      <a:noFill/>
                    </a:ln>
                    <a:extLst>
                      <a:ext uri="{53640926-AAD7-44D8-BBD7-CCE9431645EC}">
                        <a14:shadowObscured xmlns:a14="http://schemas.microsoft.com/office/drawing/2010/main"/>
                      </a:ext>
                    </a:extLst>
                  </pic:spPr>
                </pic:pic>
              </a:graphicData>
            </a:graphic>
          </wp:inline>
        </w:drawing>
      </w:r>
    </w:p>
    <w:p w:rsidR="007323B2" w:rsidRPr="00026D4C" w:rsidRDefault="007323B2" w:rsidP="002A3594">
      <w:pPr>
        <w:spacing w:line="360" w:lineRule="auto"/>
        <w:ind w:right="-93"/>
        <w:jc w:val="both"/>
        <w:rPr>
          <w:rFonts w:ascii="Arial" w:hAnsi="Arial" w:cs="Arial"/>
          <w:sz w:val="24"/>
          <w:szCs w:val="24"/>
        </w:rPr>
      </w:pPr>
      <w:r w:rsidRPr="00026D4C">
        <w:rPr>
          <w:rFonts w:ascii="Arial" w:hAnsi="Arial" w:cs="Arial"/>
          <w:sz w:val="24"/>
          <w:szCs w:val="24"/>
        </w:rPr>
        <w:t>De forma muy general, cuando un árbol de cítricos presenta uno o varios puntos amarillos en sus hojas, frutos pequeños y deformes, con semillas abortadas e inversión de color, probablemente esté infectado con HLB, sin embargo la confirmación de la enfermedad debe llevarse a cabo con métodos de biología molecular.</w:t>
      </w:r>
    </w:p>
    <w:p w:rsidR="007323B2" w:rsidRPr="00026D4C" w:rsidRDefault="007323B2" w:rsidP="002A3594">
      <w:pPr>
        <w:spacing w:line="360" w:lineRule="auto"/>
        <w:ind w:right="-93"/>
        <w:jc w:val="both"/>
        <w:rPr>
          <w:rFonts w:ascii="Arial" w:hAnsi="Arial" w:cs="Arial"/>
          <w:sz w:val="24"/>
          <w:szCs w:val="24"/>
        </w:rPr>
      </w:pPr>
      <w:r w:rsidRPr="00026D4C">
        <w:rPr>
          <w:rFonts w:ascii="Arial" w:hAnsi="Arial" w:cs="Arial"/>
          <w:noProof/>
          <w:sz w:val="24"/>
          <w:szCs w:val="24"/>
          <w:lang w:eastAsia="es-MX"/>
        </w:rPr>
        <w:lastRenderedPageBreak/>
        <w:drawing>
          <wp:inline distT="0" distB="0" distL="0" distR="0" wp14:anchorId="36C97552" wp14:editId="69A69EDB">
            <wp:extent cx="4289700" cy="273968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6199" cy="2743831"/>
                    </a:xfrm>
                    <a:prstGeom prst="rect">
                      <a:avLst/>
                    </a:prstGeom>
                    <a:noFill/>
                    <a:ln>
                      <a:noFill/>
                    </a:ln>
                  </pic:spPr>
                </pic:pic>
              </a:graphicData>
            </a:graphic>
          </wp:inline>
        </w:drawing>
      </w:r>
    </w:p>
    <w:p w:rsidR="007323B2" w:rsidRPr="00026D4C" w:rsidRDefault="00E4010C" w:rsidP="002A3594">
      <w:pPr>
        <w:spacing w:line="360" w:lineRule="auto"/>
        <w:ind w:right="-93"/>
        <w:jc w:val="both"/>
        <w:rPr>
          <w:rFonts w:ascii="Arial" w:hAnsi="Arial" w:cs="Arial"/>
          <w:sz w:val="24"/>
          <w:szCs w:val="24"/>
        </w:rPr>
      </w:pPr>
      <w:r>
        <w:rPr>
          <w:rFonts w:ascii="Arial" w:hAnsi="Arial" w:cs="Arial"/>
          <w:b/>
          <w:bCs/>
          <w:sz w:val="24"/>
          <w:szCs w:val="24"/>
        </w:rPr>
        <w:t>Figura 43</w:t>
      </w:r>
      <w:r w:rsidR="000715DA">
        <w:rPr>
          <w:rFonts w:ascii="Arial" w:hAnsi="Arial" w:cs="Arial"/>
          <w:b/>
          <w:bCs/>
          <w:sz w:val="24"/>
          <w:szCs w:val="24"/>
        </w:rPr>
        <w:t xml:space="preserve">  </w:t>
      </w:r>
      <w:r w:rsidR="007323B2" w:rsidRPr="00026D4C">
        <w:rPr>
          <w:rFonts w:ascii="Arial" w:hAnsi="Arial" w:cs="Arial"/>
          <w:sz w:val="24"/>
          <w:szCs w:val="24"/>
        </w:rPr>
        <w:t>Síntomas de HLB observados en hoja de limón persa y mexicano. Fuente: Ficha Técnica HLB, SENASICA 2011.</w:t>
      </w:r>
    </w:p>
    <w:p w:rsidR="007323B2" w:rsidRPr="000715DA" w:rsidRDefault="007323B2" w:rsidP="002A3594">
      <w:pPr>
        <w:spacing w:line="360" w:lineRule="auto"/>
        <w:ind w:right="-93"/>
        <w:jc w:val="both"/>
        <w:rPr>
          <w:rFonts w:ascii="Arial" w:hAnsi="Arial" w:cs="Arial"/>
          <w:b/>
          <w:sz w:val="24"/>
          <w:szCs w:val="24"/>
        </w:rPr>
      </w:pPr>
      <w:r w:rsidRPr="000715DA">
        <w:rPr>
          <w:rFonts w:ascii="Arial" w:hAnsi="Arial" w:cs="Arial"/>
          <w:b/>
          <w:sz w:val="24"/>
          <w:szCs w:val="24"/>
        </w:rPr>
        <w:t xml:space="preserve">Características de </w:t>
      </w:r>
      <w:r w:rsidRPr="000715DA">
        <w:rPr>
          <w:rFonts w:ascii="Arial" w:hAnsi="Arial" w:cs="Arial"/>
          <w:b/>
          <w:i/>
          <w:sz w:val="24"/>
          <w:szCs w:val="24"/>
        </w:rPr>
        <w:t>Diaphorina citri</w:t>
      </w:r>
      <w:r w:rsidRPr="000715DA">
        <w:rPr>
          <w:rFonts w:ascii="Arial" w:hAnsi="Arial" w:cs="Arial"/>
          <w:b/>
          <w:sz w:val="24"/>
          <w:szCs w:val="24"/>
        </w:rPr>
        <w:t>, vector de la bacteria que causa la enfermedad de Huanglongbing</w:t>
      </w:r>
    </w:p>
    <w:p w:rsidR="007323B2" w:rsidRPr="00026D4C" w:rsidRDefault="007323B2" w:rsidP="002A3594">
      <w:pPr>
        <w:spacing w:line="360" w:lineRule="auto"/>
        <w:ind w:right="-93"/>
        <w:jc w:val="both"/>
        <w:rPr>
          <w:rFonts w:ascii="Arial" w:hAnsi="Arial" w:cs="Arial"/>
          <w:sz w:val="24"/>
          <w:szCs w:val="24"/>
        </w:rPr>
      </w:pPr>
      <w:r w:rsidRPr="00026D4C">
        <w:rPr>
          <w:rFonts w:ascii="Arial" w:hAnsi="Arial" w:cs="Arial"/>
          <w:sz w:val="24"/>
          <w:szCs w:val="24"/>
        </w:rPr>
        <w:t xml:space="preserve">El psílido asiático, </w:t>
      </w:r>
      <w:r w:rsidRPr="00026D4C">
        <w:rPr>
          <w:rFonts w:ascii="Arial" w:hAnsi="Arial" w:cs="Arial"/>
          <w:i/>
          <w:sz w:val="24"/>
          <w:szCs w:val="24"/>
        </w:rPr>
        <w:t>Diaphorina citri</w:t>
      </w:r>
      <w:r w:rsidRPr="00026D4C">
        <w:rPr>
          <w:rFonts w:ascii="Arial" w:hAnsi="Arial" w:cs="Arial"/>
          <w:sz w:val="24"/>
          <w:szCs w:val="24"/>
        </w:rPr>
        <w:t xml:space="preserve"> Kuwuyama (Hemiptera: Psyllidae), es la plaga en cítricos más problemática actualmente alrededor del mundo,</w:t>
      </w:r>
      <w:r w:rsidR="004E2148" w:rsidRPr="00026D4C">
        <w:rPr>
          <w:rFonts w:ascii="Arial" w:hAnsi="Arial" w:cs="Arial"/>
          <w:sz w:val="24"/>
          <w:szCs w:val="24"/>
        </w:rPr>
        <w:t xml:space="preserve"> debido a que éste es el vector </w:t>
      </w:r>
      <w:r w:rsidRPr="00026D4C">
        <w:rPr>
          <w:rFonts w:ascii="Arial" w:hAnsi="Arial" w:cs="Arial"/>
          <w:sz w:val="24"/>
          <w:szCs w:val="24"/>
        </w:rPr>
        <w:t>transmisor de la bacteria Candidatus Liberibacter spp., agente causal del Huanglongbing, la enfermedad más devastadora d</w:t>
      </w:r>
      <w:r w:rsidR="004E2148" w:rsidRPr="00026D4C">
        <w:rPr>
          <w:rFonts w:ascii="Arial" w:hAnsi="Arial" w:cs="Arial"/>
          <w:sz w:val="24"/>
          <w:szCs w:val="24"/>
        </w:rPr>
        <w:t xml:space="preserve">e cítricos en los últimos años. </w:t>
      </w:r>
      <w:r w:rsidRPr="00026D4C">
        <w:rPr>
          <w:rFonts w:ascii="Arial" w:hAnsi="Arial" w:cs="Arial"/>
          <w:i/>
          <w:sz w:val="24"/>
          <w:szCs w:val="24"/>
        </w:rPr>
        <w:t>Diaphorina citri</w:t>
      </w:r>
      <w:r w:rsidRPr="00026D4C">
        <w:rPr>
          <w:rFonts w:ascii="Arial" w:hAnsi="Arial" w:cs="Arial"/>
          <w:sz w:val="24"/>
          <w:szCs w:val="24"/>
        </w:rPr>
        <w:t xml:space="preserve"> Kuwuyama pertenece al Phylum Arthopoda, Clase Insecta, Orden Hemiptera, Familia Psyllidae; conocido comúnmente como psílido asiático de los cítricos.</w:t>
      </w:r>
    </w:p>
    <w:p w:rsidR="007323B2" w:rsidRPr="00026D4C" w:rsidRDefault="004E2148" w:rsidP="002A3594">
      <w:pPr>
        <w:spacing w:line="360" w:lineRule="auto"/>
        <w:ind w:right="-93"/>
        <w:jc w:val="both"/>
        <w:rPr>
          <w:rFonts w:ascii="Arial" w:hAnsi="Arial" w:cs="Arial"/>
          <w:sz w:val="24"/>
          <w:szCs w:val="24"/>
        </w:rPr>
      </w:pPr>
      <w:r w:rsidRPr="00026D4C">
        <w:rPr>
          <w:rFonts w:ascii="Arial" w:hAnsi="Arial" w:cs="Arial"/>
          <w:noProof/>
          <w:sz w:val="24"/>
          <w:szCs w:val="24"/>
          <w:lang w:eastAsia="es-MX"/>
        </w:rPr>
        <w:lastRenderedPageBreak/>
        <w:drawing>
          <wp:inline distT="0" distB="0" distL="0" distR="0" wp14:anchorId="3829301E" wp14:editId="1F27D2B5">
            <wp:extent cx="5325465" cy="2108902"/>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6767" cy="2109418"/>
                    </a:xfrm>
                    <a:prstGeom prst="rect">
                      <a:avLst/>
                    </a:prstGeom>
                    <a:noFill/>
                    <a:ln>
                      <a:noFill/>
                    </a:ln>
                  </pic:spPr>
                </pic:pic>
              </a:graphicData>
            </a:graphic>
          </wp:inline>
        </w:drawing>
      </w:r>
    </w:p>
    <w:p w:rsidR="007323B2" w:rsidRPr="00026D4C" w:rsidRDefault="00E4010C" w:rsidP="002A3594">
      <w:pPr>
        <w:spacing w:line="360" w:lineRule="auto"/>
        <w:ind w:right="-93"/>
        <w:jc w:val="both"/>
        <w:rPr>
          <w:rFonts w:ascii="Arial" w:hAnsi="Arial" w:cs="Arial"/>
          <w:sz w:val="24"/>
          <w:szCs w:val="24"/>
        </w:rPr>
      </w:pPr>
      <w:r>
        <w:rPr>
          <w:rFonts w:ascii="Arial" w:hAnsi="Arial" w:cs="Arial"/>
          <w:b/>
          <w:bCs/>
          <w:sz w:val="24"/>
          <w:szCs w:val="24"/>
        </w:rPr>
        <w:t>Figura 44</w:t>
      </w:r>
      <w:r w:rsidR="004E2148" w:rsidRPr="00026D4C">
        <w:rPr>
          <w:rFonts w:ascii="Arial" w:hAnsi="Arial" w:cs="Arial"/>
          <w:b/>
          <w:bCs/>
          <w:sz w:val="24"/>
          <w:szCs w:val="24"/>
        </w:rPr>
        <w:t xml:space="preserve"> </w:t>
      </w:r>
      <w:r w:rsidR="004E2148" w:rsidRPr="00026D4C">
        <w:rPr>
          <w:rFonts w:ascii="Arial" w:hAnsi="Arial" w:cs="Arial"/>
          <w:sz w:val="24"/>
          <w:szCs w:val="24"/>
        </w:rPr>
        <w:t xml:space="preserve">Etapas de desarrollo de </w:t>
      </w:r>
      <w:r w:rsidR="004E2148" w:rsidRPr="00026D4C">
        <w:rPr>
          <w:rFonts w:ascii="Arial" w:hAnsi="Arial" w:cs="Arial"/>
          <w:i/>
          <w:iCs/>
          <w:sz w:val="24"/>
          <w:szCs w:val="24"/>
        </w:rPr>
        <w:t xml:space="preserve">Diaphorina citri: </w:t>
      </w:r>
      <w:r w:rsidR="004E2148" w:rsidRPr="00026D4C">
        <w:rPr>
          <w:rFonts w:ascii="Arial" w:hAnsi="Arial" w:cs="Arial"/>
          <w:sz w:val="24"/>
          <w:szCs w:val="24"/>
        </w:rPr>
        <w:t>a) adulto; b) ninfas. Fuente: Ficha Técnica HLB, SENASICA 2011.</w:t>
      </w:r>
    </w:p>
    <w:p w:rsidR="004E2148" w:rsidRPr="00026D4C" w:rsidRDefault="004E2148" w:rsidP="002A3594">
      <w:pPr>
        <w:spacing w:line="360" w:lineRule="auto"/>
        <w:ind w:right="-93"/>
        <w:jc w:val="both"/>
        <w:rPr>
          <w:rFonts w:ascii="Arial" w:hAnsi="Arial" w:cs="Arial"/>
          <w:sz w:val="24"/>
          <w:szCs w:val="24"/>
        </w:rPr>
      </w:pPr>
      <w:r w:rsidRPr="00026D4C">
        <w:rPr>
          <w:rFonts w:ascii="Arial" w:hAnsi="Arial" w:cs="Arial"/>
          <w:sz w:val="24"/>
          <w:szCs w:val="24"/>
        </w:rPr>
        <w:t>La relación entre el agente causal del HLB y el psílido se estableció por primera vez en 1954 por Lin et al., y años más tarde por Martínez y Wallace en 1967. Se sabe que desde el siglo XX, el vector está ampliamente distribuido en las regiones tropicales y subtropicales de Asia, sin embargo el primer reporte de la presencia del psílido en América, ocurrió hacia el año 1940 en Brasil y cincuenta años más tarde fue reportada su presencia en Florida, USA. Actualmente el psílido se encuentra diseminado en todas las plantaciones de cítricos de los Estados Unidos, México, Belice, Costa Rica, el Caribe y gran parte de Sudamérica (Grafton- Cardwell et al., 2013). El siguiente mapa esquematiza lo mencionado anteriormente.</w:t>
      </w:r>
    </w:p>
    <w:p w:rsidR="004E2148" w:rsidRPr="00026D4C" w:rsidRDefault="004E2148" w:rsidP="002A3594">
      <w:pPr>
        <w:spacing w:line="360" w:lineRule="auto"/>
        <w:ind w:right="-93"/>
        <w:jc w:val="both"/>
        <w:rPr>
          <w:rFonts w:ascii="Arial" w:hAnsi="Arial" w:cs="Arial"/>
          <w:sz w:val="24"/>
          <w:szCs w:val="24"/>
        </w:rPr>
      </w:pPr>
      <w:r w:rsidRPr="00026D4C">
        <w:rPr>
          <w:rFonts w:ascii="Arial" w:hAnsi="Arial" w:cs="Arial"/>
          <w:noProof/>
          <w:sz w:val="24"/>
          <w:szCs w:val="24"/>
          <w:lang w:eastAsia="es-MX"/>
        </w:rPr>
        <w:drawing>
          <wp:inline distT="0" distB="0" distL="0" distR="0" wp14:anchorId="55CB1B21" wp14:editId="6BDCB5B9">
            <wp:extent cx="5135270" cy="2414214"/>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6526" cy="2414804"/>
                    </a:xfrm>
                    <a:prstGeom prst="rect">
                      <a:avLst/>
                    </a:prstGeom>
                    <a:noFill/>
                    <a:ln>
                      <a:noFill/>
                    </a:ln>
                  </pic:spPr>
                </pic:pic>
              </a:graphicData>
            </a:graphic>
          </wp:inline>
        </w:drawing>
      </w:r>
    </w:p>
    <w:p w:rsidR="004E2148" w:rsidRPr="00026D4C" w:rsidRDefault="000715DA" w:rsidP="002A3594">
      <w:pPr>
        <w:pStyle w:val="Default"/>
        <w:spacing w:line="360" w:lineRule="auto"/>
        <w:ind w:right="-93"/>
        <w:jc w:val="both"/>
      </w:pPr>
      <w:r>
        <w:rPr>
          <w:b/>
          <w:bCs/>
        </w:rPr>
        <w:lastRenderedPageBreak/>
        <w:t>Fi</w:t>
      </w:r>
      <w:r w:rsidR="00E4010C">
        <w:rPr>
          <w:b/>
          <w:bCs/>
        </w:rPr>
        <w:t>gura 45</w:t>
      </w:r>
      <w:r w:rsidR="004E2148" w:rsidRPr="00026D4C">
        <w:rPr>
          <w:b/>
          <w:bCs/>
        </w:rPr>
        <w:t xml:space="preserve"> </w:t>
      </w:r>
      <w:r w:rsidR="004E2148" w:rsidRPr="00026D4C">
        <w:t xml:space="preserve">Distribución mundial de </w:t>
      </w:r>
      <w:r w:rsidR="004E2148" w:rsidRPr="00026D4C">
        <w:rPr>
          <w:i/>
          <w:iCs/>
        </w:rPr>
        <w:t>Diaphorina citri</w:t>
      </w:r>
      <w:r w:rsidR="004E2148" w:rsidRPr="00026D4C">
        <w:t xml:space="preserve">, 2009. Fuente: Ministerio de la Producción. Secretaria de la Agricultura, Ganadería, Pesca y Alimentación. Servicio Nacional de Sanidad y Calidad Agroalimentaria. Buenos Aires, Argentina, 2009. </w:t>
      </w:r>
    </w:p>
    <w:p w:rsidR="004E2148" w:rsidRPr="00026D4C" w:rsidRDefault="004E2148" w:rsidP="002A3594">
      <w:pPr>
        <w:pStyle w:val="Default"/>
        <w:spacing w:line="360" w:lineRule="auto"/>
        <w:ind w:right="-93"/>
        <w:jc w:val="both"/>
      </w:pPr>
    </w:p>
    <w:p w:rsidR="004E2148" w:rsidRPr="00026D4C" w:rsidRDefault="004E2148" w:rsidP="002A3594">
      <w:pPr>
        <w:pStyle w:val="Default"/>
        <w:spacing w:line="360" w:lineRule="auto"/>
        <w:ind w:right="-93"/>
        <w:jc w:val="both"/>
      </w:pPr>
      <w:r w:rsidRPr="00026D4C">
        <w:t xml:space="preserve">Particularmente, en nuestro país, la presencia de </w:t>
      </w:r>
      <w:r w:rsidRPr="00026D4C">
        <w:rPr>
          <w:i/>
          <w:iCs/>
        </w:rPr>
        <w:t xml:space="preserve">Diaphorina citri </w:t>
      </w:r>
      <w:r w:rsidRPr="00026D4C">
        <w:t xml:space="preserve"> fue reportada por primera vez en el año 2002 en los estados de Campeche y Quintana Roo. Desde entonces se ha distribuido ampliamente en todas las áreas citrícolas del país. En el año 2003, fue observado en los estados de Nuevo León y Tamaulipas; para el año 2004, la plaga se había extendido hasta los estado de Colima, Querétaro, San Luis Potosí, Tabasco y Yucatán (López Arroyo et al., 2005). Durante 2005 fue registrado en Sinaloa; en 2006 el insecto también fue encontrado en Sonora y Baja California sur (Martínez Carrillo, et al., 2008). En el mes de Junio de 2008, se reportó la presencia de este insecto en la zona urbana de Tijuana Baja California, (Dirección General de Sanidad Vegetal y Sistemas de Alerta Fitosanitaria de la NAPPO 2008), lo que demuestra que en tan solo seis años 2002 a 2008 el insecto se desplazó por todo el territorio nacional. Durante Julio de 2008, el insecto fue observado alimentándose en árboles dispersos y escasos en jardines del área rural del estado de Coahuila, lejos de cualquier zona citrícola (López Arroyo et al., 2008). </w:t>
      </w:r>
    </w:p>
    <w:p w:rsidR="004E2148" w:rsidRPr="00026D4C" w:rsidRDefault="004E2148" w:rsidP="002A3594">
      <w:pPr>
        <w:spacing w:line="360" w:lineRule="auto"/>
        <w:ind w:right="-93"/>
        <w:jc w:val="both"/>
        <w:rPr>
          <w:rFonts w:ascii="Arial" w:hAnsi="Arial" w:cs="Arial"/>
          <w:sz w:val="24"/>
          <w:szCs w:val="24"/>
        </w:rPr>
      </w:pPr>
      <w:r w:rsidRPr="00026D4C">
        <w:rPr>
          <w:rFonts w:ascii="Arial" w:hAnsi="Arial" w:cs="Arial"/>
          <w:sz w:val="24"/>
          <w:szCs w:val="24"/>
        </w:rPr>
        <w:t xml:space="preserve">Los datos indican que actualmente se encuentra presente en 688 municipios del territorio nacional. En la Figura 4 se presenta la distribución de </w:t>
      </w:r>
      <w:r w:rsidRPr="00026D4C">
        <w:rPr>
          <w:rFonts w:ascii="Arial" w:hAnsi="Arial" w:cs="Arial"/>
          <w:i/>
          <w:iCs/>
          <w:sz w:val="24"/>
          <w:szCs w:val="24"/>
        </w:rPr>
        <w:t xml:space="preserve">Diaphorina citri </w:t>
      </w:r>
      <w:r w:rsidRPr="00026D4C">
        <w:rPr>
          <w:rFonts w:ascii="Arial" w:hAnsi="Arial" w:cs="Arial"/>
          <w:sz w:val="24"/>
          <w:szCs w:val="24"/>
        </w:rPr>
        <w:t>en México.</w:t>
      </w:r>
    </w:p>
    <w:p w:rsidR="004E2148" w:rsidRPr="00026D4C" w:rsidRDefault="004E2148" w:rsidP="002A3594">
      <w:pPr>
        <w:spacing w:line="360" w:lineRule="auto"/>
        <w:ind w:right="-93"/>
        <w:rPr>
          <w:rFonts w:ascii="Arial" w:hAnsi="Arial" w:cs="Arial"/>
          <w:b/>
          <w:bCs/>
          <w:sz w:val="24"/>
          <w:szCs w:val="24"/>
        </w:rPr>
      </w:pPr>
      <w:r w:rsidRPr="00026D4C">
        <w:rPr>
          <w:rFonts w:ascii="Arial" w:hAnsi="Arial" w:cs="Arial"/>
          <w:noProof/>
          <w:sz w:val="24"/>
          <w:szCs w:val="24"/>
          <w:lang w:eastAsia="es-MX"/>
        </w:rPr>
        <w:lastRenderedPageBreak/>
        <w:drawing>
          <wp:inline distT="0" distB="0" distL="0" distR="0" wp14:anchorId="0D347A43" wp14:editId="31432027">
            <wp:extent cx="4601210" cy="3343275"/>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1210" cy="3343275"/>
                    </a:xfrm>
                    <a:prstGeom prst="rect">
                      <a:avLst/>
                    </a:prstGeom>
                    <a:noFill/>
                    <a:ln>
                      <a:noFill/>
                    </a:ln>
                  </pic:spPr>
                </pic:pic>
              </a:graphicData>
            </a:graphic>
          </wp:inline>
        </w:drawing>
      </w:r>
    </w:p>
    <w:p w:rsidR="004E2148" w:rsidRPr="00026D4C" w:rsidRDefault="004E2148" w:rsidP="002A3594">
      <w:pPr>
        <w:spacing w:line="360" w:lineRule="auto"/>
        <w:ind w:right="-93"/>
        <w:rPr>
          <w:rFonts w:ascii="Arial" w:hAnsi="Arial" w:cs="Arial"/>
          <w:b/>
          <w:bCs/>
          <w:sz w:val="24"/>
          <w:szCs w:val="24"/>
        </w:rPr>
      </w:pPr>
    </w:p>
    <w:p w:rsidR="004E2148" w:rsidRPr="00026D4C" w:rsidRDefault="00E4010C" w:rsidP="000715DA">
      <w:pPr>
        <w:spacing w:line="360" w:lineRule="auto"/>
        <w:ind w:right="-93"/>
        <w:jc w:val="both"/>
        <w:rPr>
          <w:rFonts w:ascii="Arial" w:hAnsi="Arial" w:cs="Arial"/>
          <w:sz w:val="24"/>
          <w:szCs w:val="24"/>
        </w:rPr>
      </w:pPr>
      <w:r>
        <w:rPr>
          <w:rFonts w:ascii="Arial" w:hAnsi="Arial" w:cs="Arial"/>
          <w:b/>
          <w:bCs/>
          <w:sz w:val="24"/>
          <w:szCs w:val="24"/>
        </w:rPr>
        <w:t>Figura 46</w:t>
      </w:r>
      <w:r w:rsidR="004E2148" w:rsidRPr="00026D4C">
        <w:rPr>
          <w:rFonts w:ascii="Arial" w:hAnsi="Arial" w:cs="Arial"/>
          <w:b/>
          <w:bCs/>
          <w:sz w:val="24"/>
          <w:szCs w:val="24"/>
        </w:rPr>
        <w:t xml:space="preserve"> </w:t>
      </w:r>
      <w:r w:rsidR="004E2148" w:rsidRPr="00026D4C">
        <w:rPr>
          <w:rFonts w:ascii="Arial" w:hAnsi="Arial" w:cs="Arial"/>
          <w:sz w:val="24"/>
          <w:szCs w:val="24"/>
        </w:rPr>
        <w:t xml:space="preserve">Distribución de </w:t>
      </w:r>
      <w:r w:rsidR="004E2148" w:rsidRPr="00026D4C">
        <w:rPr>
          <w:rFonts w:ascii="Arial" w:hAnsi="Arial" w:cs="Arial"/>
          <w:i/>
          <w:iCs/>
          <w:sz w:val="24"/>
          <w:szCs w:val="24"/>
        </w:rPr>
        <w:t xml:space="preserve">Diaphorina citri </w:t>
      </w:r>
      <w:r w:rsidR="004E2148" w:rsidRPr="00026D4C">
        <w:rPr>
          <w:rFonts w:ascii="Arial" w:hAnsi="Arial" w:cs="Arial"/>
          <w:sz w:val="24"/>
          <w:szCs w:val="24"/>
        </w:rPr>
        <w:t xml:space="preserve">en México, 2008. En color verde, se señalan los estados donde se ha localizado el vector. Fuente: Ficha Técnica de </w:t>
      </w:r>
      <w:r w:rsidR="004E2148" w:rsidRPr="00026D4C">
        <w:rPr>
          <w:rFonts w:ascii="Arial" w:hAnsi="Arial" w:cs="Arial"/>
          <w:i/>
          <w:iCs/>
          <w:sz w:val="24"/>
          <w:szCs w:val="24"/>
        </w:rPr>
        <w:t xml:space="preserve">Diaphorina citri </w:t>
      </w:r>
      <w:r w:rsidR="004E2148" w:rsidRPr="00026D4C">
        <w:rPr>
          <w:rFonts w:ascii="Arial" w:hAnsi="Arial" w:cs="Arial"/>
          <w:sz w:val="24"/>
          <w:szCs w:val="24"/>
        </w:rPr>
        <w:t>Kuwuyama, Psílido asiático de los cítricos. SAGARPA, SENA</w:t>
      </w:r>
      <w:r w:rsidR="0061783C">
        <w:rPr>
          <w:rFonts w:ascii="Arial" w:hAnsi="Arial" w:cs="Arial"/>
          <w:sz w:val="24"/>
          <w:szCs w:val="24"/>
        </w:rPr>
        <w:t>SICA, SINAVEF, 2008.</w:t>
      </w:r>
    </w:p>
    <w:p w:rsidR="004E2148" w:rsidRPr="00026D4C" w:rsidRDefault="004E2148" w:rsidP="002A3594">
      <w:pPr>
        <w:spacing w:line="360" w:lineRule="auto"/>
        <w:ind w:right="-93"/>
        <w:jc w:val="both"/>
        <w:rPr>
          <w:rFonts w:ascii="Arial" w:hAnsi="Arial" w:cs="Arial"/>
          <w:sz w:val="24"/>
          <w:szCs w:val="24"/>
        </w:rPr>
      </w:pPr>
      <w:r w:rsidRPr="00026D4C">
        <w:rPr>
          <w:rFonts w:ascii="Arial" w:hAnsi="Arial" w:cs="Arial"/>
          <w:sz w:val="24"/>
          <w:szCs w:val="24"/>
        </w:rPr>
        <w:t>En resum</w:t>
      </w:r>
      <w:r w:rsidR="000715DA">
        <w:rPr>
          <w:rFonts w:ascii="Arial" w:hAnsi="Arial" w:cs="Arial"/>
          <w:sz w:val="24"/>
          <w:szCs w:val="24"/>
        </w:rPr>
        <w:t>en, el ciclo de vida del vector</w:t>
      </w:r>
      <w:r w:rsidRPr="00026D4C">
        <w:rPr>
          <w:rFonts w:ascii="Arial" w:hAnsi="Arial" w:cs="Arial"/>
          <w:sz w:val="24"/>
          <w:szCs w:val="24"/>
        </w:rPr>
        <w:t xml:space="preserve"> empieza con la ovoposición de alrededor de 800 huevos durante toda su vida por hembra de </w:t>
      </w:r>
      <w:r w:rsidRPr="00E4010C">
        <w:rPr>
          <w:rFonts w:ascii="Arial" w:hAnsi="Arial" w:cs="Arial"/>
          <w:i/>
          <w:sz w:val="24"/>
          <w:szCs w:val="24"/>
        </w:rPr>
        <w:t>D. citri</w:t>
      </w:r>
      <w:r w:rsidRPr="00026D4C">
        <w:rPr>
          <w:rFonts w:ascii="Arial" w:hAnsi="Arial" w:cs="Arial"/>
          <w:sz w:val="24"/>
          <w:szCs w:val="24"/>
        </w:rPr>
        <w:t xml:space="preserve"> en las yemas axilares de los árboles de cítricos, los cuales eclosionan de 2-4 días. Existen cinco </w:t>
      </w:r>
      <w:r w:rsidR="00E4010C" w:rsidRPr="00026D4C">
        <w:rPr>
          <w:rFonts w:ascii="Arial" w:hAnsi="Arial" w:cs="Arial"/>
          <w:sz w:val="24"/>
          <w:szCs w:val="24"/>
        </w:rPr>
        <w:t>estadios</w:t>
      </w:r>
      <w:r w:rsidRPr="00026D4C">
        <w:rPr>
          <w:rFonts w:ascii="Arial" w:hAnsi="Arial" w:cs="Arial"/>
          <w:sz w:val="24"/>
          <w:szCs w:val="24"/>
        </w:rPr>
        <w:t xml:space="preserve"> larvales, los cuales son completados en un período de 11- 15 días, mientras que el ciclo de vida lleva a cabo de 15 a 47 días, esto dependiendo de la temperatura del medio ambiente. Hembras y machos de </w:t>
      </w:r>
      <w:r w:rsidRPr="00175DC5">
        <w:rPr>
          <w:rFonts w:ascii="Arial" w:hAnsi="Arial" w:cs="Arial"/>
          <w:i/>
          <w:sz w:val="24"/>
          <w:szCs w:val="24"/>
        </w:rPr>
        <w:t>D. citri,</w:t>
      </w:r>
      <w:r w:rsidRPr="00026D4C">
        <w:rPr>
          <w:rFonts w:ascii="Arial" w:hAnsi="Arial" w:cs="Arial"/>
          <w:sz w:val="24"/>
          <w:szCs w:val="24"/>
        </w:rPr>
        <w:t xml:space="preserve"> emergen al mismo tiempo sin protandria ni protoginia. La duración del apareamiento dura alrededor de 20 a 100 minutos y ocurre exclusivamente durante la fotofase y en las yemas axilares. Para el mantenimiento de un rendimiento máximo de reproducción, las hembras necesitan aparearse varias veces, lo cual se logra con la gran cantidad de machos</w:t>
      </w:r>
      <w:r w:rsidR="0061783C">
        <w:rPr>
          <w:rFonts w:ascii="Arial" w:hAnsi="Arial" w:cs="Arial"/>
          <w:sz w:val="24"/>
          <w:szCs w:val="24"/>
        </w:rPr>
        <w:t xml:space="preserve"> </w:t>
      </w:r>
      <w:r w:rsidRPr="00026D4C">
        <w:rPr>
          <w:rFonts w:ascii="Arial" w:hAnsi="Arial" w:cs="Arial"/>
          <w:sz w:val="24"/>
          <w:szCs w:val="24"/>
        </w:rPr>
        <w:t xml:space="preserve">que puedan encontrar a su alrededor, así las hembras una vez que se han apareado, empiezan a ovoposicionar después del 1 día de ocurrido el suceso. El </w:t>
      </w:r>
      <w:r w:rsidRPr="00026D4C">
        <w:rPr>
          <w:rFonts w:ascii="Arial" w:hAnsi="Arial" w:cs="Arial"/>
          <w:sz w:val="24"/>
          <w:szCs w:val="24"/>
        </w:rPr>
        <w:lastRenderedPageBreak/>
        <w:t>psílido presenta un pico poblacional al final de la primavera e inicios del verano, coincid</w:t>
      </w:r>
      <w:r w:rsidR="00175DC5">
        <w:rPr>
          <w:rFonts w:ascii="Arial" w:hAnsi="Arial" w:cs="Arial"/>
          <w:sz w:val="24"/>
          <w:szCs w:val="24"/>
        </w:rPr>
        <w:t>ente con el período de brotes</w:t>
      </w:r>
      <w:r w:rsidRPr="00026D4C">
        <w:rPr>
          <w:rFonts w:ascii="Arial" w:hAnsi="Arial" w:cs="Arial"/>
          <w:sz w:val="24"/>
          <w:szCs w:val="24"/>
        </w:rPr>
        <w:t xml:space="preserve"> de los cítricos. (García- Darderes, C., 2009; Halbert, S.E. y Manjunath, K.L., 2004; Grafton- Cardwell, E., et al., 2006).</w:t>
      </w:r>
    </w:p>
    <w:p w:rsidR="004E2148" w:rsidRPr="00026D4C" w:rsidRDefault="004E2148" w:rsidP="002A3594">
      <w:pPr>
        <w:spacing w:line="360" w:lineRule="auto"/>
        <w:ind w:right="-93"/>
        <w:jc w:val="both"/>
        <w:rPr>
          <w:rFonts w:ascii="Arial" w:hAnsi="Arial" w:cs="Arial"/>
          <w:sz w:val="24"/>
          <w:szCs w:val="24"/>
        </w:rPr>
      </w:pPr>
      <w:r w:rsidRPr="00175DC5">
        <w:rPr>
          <w:rFonts w:ascii="Arial" w:hAnsi="Arial" w:cs="Arial"/>
          <w:i/>
          <w:sz w:val="24"/>
          <w:szCs w:val="24"/>
        </w:rPr>
        <w:t>Diaphorina citri</w:t>
      </w:r>
      <w:r w:rsidRPr="00026D4C">
        <w:rPr>
          <w:rFonts w:ascii="Arial" w:hAnsi="Arial" w:cs="Arial"/>
          <w:sz w:val="24"/>
          <w:szCs w:val="24"/>
        </w:rPr>
        <w:t xml:space="preserve"> tiene preferencia por la familia de las Rutáceas. Afecta especialmente a los cítricos, </w:t>
      </w:r>
      <w:r w:rsidR="00175DC5">
        <w:rPr>
          <w:rFonts w:ascii="Arial" w:hAnsi="Arial" w:cs="Arial"/>
          <w:sz w:val="24"/>
          <w:szCs w:val="24"/>
        </w:rPr>
        <w:t>entre ellos limones (</w:t>
      </w:r>
      <w:r w:rsidR="00175DC5" w:rsidRPr="00175DC5">
        <w:rPr>
          <w:rFonts w:ascii="Arial" w:hAnsi="Arial" w:cs="Arial"/>
          <w:i/>
          <w:sz w:val="24"/>
          <w:szCs w:val="24"/>
        </w:rPr>
        <w:t>Citrus limo</w:t>
      </w:r>
      <w:r w:rsidRPr="00175DC5">
        <w:rPr>
          <w:rFonts w:ascii="Arial" w:hAnsi="Arial" w:cs="Arial"/>
          <w:i/>
          <w:sz w:val="24"/>
          <w:szCs w:val="24"/>
        </w:rPr>
        <w:t>n</w:t>
      </w:r>
      <w:r w:rsidRPr="00026D4C">
        <w:rPr>
          <w:rFonts w:ascii="Arial" w:hAnsi="Arial" w:cs="Arial"/>
          <w:sz w:val="24"/>
          <w:szCs w:val="24"/>
        </w:rPr>
        <w:t>), limón rugoso (</w:t>
      </w:r>
      <w:r w:rsidRPr="00175DC5">
        <w:rPr>
          <w:rFonts w:ascii="Arial" w:hAnsi="Arial" w:cs="Arial"/>
          <w:i/>
          <w:sz w:val="24"/>
          <w:szCs w:val="24"/>
        </w:rPr>
        <w:t>C. jambhuri</w:t>
      </w:r>
      <w:r w:rsidRPr="00026D4C">
        <w:rPr>
          <w:rFonts w:ascii="Arial" w:hAnsi="Arial" w:cs="Arial"/>
          <w:sz w:val="24"/>
          <w:szCs w:val="24"/>
        </w:rPr>
        <w:t>), naranja agria (</w:t>
      </w:r>
      <w:r w:rsidRPr="00175DC5">
        <w:rPr>
          <w:rFonts w:ascii="Arial" w:hAnsi="Arial" w:cs="Arial"/>
          <w:i/>
          <w:sz w:val="24"/>
          <w:szCs w:val="24"/>
        </w:rPr>
        <w:t>C. aurantium</w:t>
      </w:r>
      <w:r w:rsidRPr="00026D4C">
        <w:rPr>
          <w:rFonts w:ascii="Arial" w:hAnsi="Arial" w:cs="Arial"/>
          <w:sz w:val="24"/>
          <w:szCs w:val="24"/>
        </w:rPr>
        <w:t>), pomelo (</w:t>
      </w:r>
      <w:r w:rsidRPr="00175DC5">
        <w:rPr>
          <w:rFonts w:ascii="Arial" w:hAnsi="Arial" w:cs="Arial"/>
          <w:i/>
          <w:sz w:val="24"/>
          <w:szCs w:val="24"/>
        </w:rPr>
        <w:t>C. paradisi</w:t>
      </w:r>
      <w:r w:rsidRPr="00026D4C">
        <w:rPr>
          <w:rFonts w:ascii="Arial" w:hAnsi="Arial" w:cs="Arial"/>
          <w:sz w:val="24"/>
          <w:szCs w:val="24"/>
        </w:rPr>
        <w:t>) y limas (</w:t>
      </w:r>
      <w:r w:rsidRPr="00175DC5">
        <w:rPr>
          <w:rFonts w:ascii="Arial" w:hAnsi="Arial" w:cs="Arial"/>
          <w:i/>
          <w:sz w:val="24"/>
          <w:szCs w:val="24"/>
        </w:rPr>
        <w:t>C. aurantifolia</w:t>
      </w:r>
      <w:r w:rsidRPr="00026D4C">
        <w:rPr>
          <w:rFonts w:ascii="Arial" w:hAnsi="Arial" w:cs="Arial"/>
          <w:sz w:val="24"/>
          <w:szCs w:val="24"/>
        </w:rPr>
        <w:t xml:space="preserve">). También existen hospederos alternativos, siendo sus preferidos los del género </w:t>
      </w:r>
      <w:r w:rsidRPr="00175DC5">
        <w:rPr>
          <w:rFonts w:ascii="Arial" w:hAnsi="Arial" w:cs="Arial"/>
          <w:i/>
          <w:sz w:val="24"/>
          <w:szCs w:val="24"/>
        </w:rPr>
        <w:t>Murraya spp</w:t>
      </w:r>
      <w:r w:rsidRPr="00026D4C">
        <w:rPr>
          <w:rFonts w:ascii="Arial" w:hAnsi="Arial" w:cs="Arial"/>
          <w:sz w:val="24"/>
          <w:szCs w:val="24"/>
        </w:rPr>
        <w:t>. (</w:t>
      </w:r>
      <w:r w:rsidRPr="00175DC5">
        <w:rPr>
          <w:rFonts w:ascii="Arial" w:hAnsi="Arial" w:cs="Arial"/>
          <w:i/>
          <w:sz w:val="24"/>
          <w:szCs w:val="24"/>
        </w:rPr>
        <w:t>Murraya paniculata</w:t>
      </w:r>
      <w:r w:rsidRPr="00026D4C">
        <w:rPr>
          <w:rFonts w:ascii="Arial" w:hAnsi="Arial" w:cs="Arial"/>
          <w:sz w:val="24"/>
          <w:szCs w:val="24"/>
        </w:rPr>
        <w:t xml:space="preserve"> o comúnmente llamado mirto). Estos son utilizados como plantas ornameta</w:t>
      </w:r>
      <w:r w:rsidR="00175DC5">
        <w:rPr>
          <w:rFonts w:ascii="Arial" w:hAnsi="Arial" w:cs="Arial"/>
          <w:sz w:val="24"/>
          <w:szCs w:val="24"/>
        </w:rPr>
        <w:t>n</w:t>
      </w:r>
      <w:r w:rsidRPr="00026D4C">
        <w:rPr>
          <w:rFonts w:ascii="Arial" w:hAnsi="Arial" w:cs="Arial"/>
          <w:sz w:val="24"/>
          <w:szCs w:val="24"/>
        </w:rPr>
        <w:t>les en parques, plazas y jardines, lo que facilita la propagación del vector (García-Darderes, C., 2009).</w:t>
      </w:r>
    </w:p>
    <w:p w:rsidR="004E2148" w:rsidRPr="00175DC5" w:rsidRDefault="004E2148" w:rsidP="002A3594">
      <w:pPr>
        <w:spacing w:line="360" w:lineRule="auto"/>
        <w:ind w:right="-93"/>
        <w:rPr>
          <w:rFonts w:ascii="Arial" w:hAnsi="Arial" w:cs="Arial"/>
          <w:b/>
          <w:sz w:val="24"/>
          <w:szCs w:val="24"/>
        </w:rPr>
      </w:pPr>
      <w:r w:rsidRPr="00175DC5">
        <w:rPr>
          <w:rFonts w:ascii="Arial" w:hAnsi="Arial" w:cs="Arial"/>
          <w:b/>
          <w:sz w:val="24"/>
          <w:szCs w:val="24"/>
        </w:rPr>
        <w:t xml:space="preserve">Características de </w:t>
      </w:r>
      <w:r w:rsidRPr="00175DC5">
        <w:rPr>
          <w:rFonts w:ascii="Arial" w:hAnsi="Arial" w:cs="Arial"/>
          <w:b/>
          <w:i/>
          <w:sz w:val="24"/>
          <w:szCs w:val="24"/>
        </w:rPr>
        <w:t>Candidatus</w:t>
      </w:r>
      <w:r w:rsidRPr="00175DC5">
        <w:rPr>
          <w:rFonts w:ascii="Arial" w:hAnsi="Arial" w:cs="Arial"/>
          <w:b/>
          <w:sz w:val="24"/>
          <w:szCs w:val="24"/>
        </w:rPr>
        <w:t xml:space="preserve"> Liberibacter spp.</w:t>
      </w:r>
    </w:p>
    <w:p w:rsidR="004E2148" w:rsidRPr="00026D4C" w:rsidRDefault="004E2148" w:rsidP="002A3594">
      <w:pPr>
        <w:spacing w:line="360" w:lineRule="auto"/>
        <w:ind w:right="-93"/>
        <w:jc w:val="both"/>
        <w:rPr>
          <w:rFonts w:ascii="Arial" w:hAnsi="Arial" w:cs="Arial"/>
          <w:sz w:val="24"/>
          <w:szCs w:val="24"/>
        </w:rPr>
      </w:pPr>
      <w:r w:rsidRPr="00026D4C">
        <w:rPr>
          <w:rFonts w:ascii="Arial" w:hAnsi="Arial" w:cs="Arial"/>
          <w:sz w:val="24"/>
          <w:szCs w:val="24"/>
        </w:rPr>
        <w:t>Por muchos años, la distribución geográfica del HLB estaba restringida a dos grandes regiones: África y Asia. Hasta el año 2007, el HLB estaba localizado en casi toda África, Asia central, Asia oriental, Asia del Este, América (Brasil, Estados Unidos y México, entre otros (Figura 5), por lo tanto es posible que actualmente la distribución de HLB sea mayor en la época actual (López- Collado, 2013).</w:t>
      </w:r>
      <w:r w:rsidR="0061783C">
        <w:rPr>
          <w:rFonts w:ascii="Arial" w:hAnsi="Arial" w:cs="Arial"/>
          <w:sz w:val="24"/>
          <w:szCs w:val="24"/>
        </w:rPr>
        <w:t xml:space="preserve"> </w:t>
      </w:r>
      <w:r w:rsidRPr="00026D4C">
        <w:rPr>
          <w:rFonts w:ascii="Arial" w:hAnsi="Arial" w:cs="Arial"/>
          <w:sz w:val="24"/>
          <w:szCs w:val="24"/>
        </w:rPr>
        <w:t xml:space="preserve">En el 2013, México reporta la presencia de la enfermedad en los siguientes estados: Baja California Sur, Campeche, Chiapas, Colima, Hidalgo, Jalisco, Michoacán, Nayarit, Quintana Roo, Sinaloa, Tabasco y Yucatán (SENASICA, 2013). La Figura </w:t>
      </w:r>
      <w:r w:rsidR="00175DC5">
        <w:rPr>
          <w:rFonts w:ascii="Arial" w:hAnsi="Arial" w:cs="Arial"/>
          <w:sz w:val="24"/>
          <w:szCs w:val="24"/>
        </w:rPr>
        <w:t xml:space="preserve">siguiente </w:t>
      </w:r>
      <w:r w:rsidRPr="00026D4C">
        <w:rPr>
          <w:rFonts w:ascii="Arial" w:hAnsi="Arial" w:cs="Arial"/>
          <w:sz w:val="24"/>
          <w:szCs w:val="24"/>
        </w:rPr>
        <w:t>muestra la distribución de HLB en México.</w:t>
      </w:r>
    </w:p>
    <w:p w:rsidR="004E2148" w:rsidRPr="00026D4C" w:rsidRDefault="004E2148" w:rsidP="002A3594">
      <w:pPr>
        <w:spacing w:line="360" w:lineRule="auto"/>
        <w:ind w:right="-93"/>
        <w:jc w:val="center"/>
        <w:rPr>
          <w:rFonts w:ascii="Arial" w:hAnsi="Arial" w:cs="Arial"/>
          <w:sz w:val="24"/>
          <w:szCs w:val="24"/>
        </w:rPr>
      </w:pPr>
      <w:r w:rsidRPr="00026D4C">
        <w:rPr>
          <w:rFonts w:ascii="Arial" w:hAnsi="Arial" w:cs="Arial"/>
          <w:noProof/>
          <w:sz w:val="24"/>
          <w:szCs w:val="24"/>
          <w:lang w:eastAsia="es-MX"/>
        </w:rPr>
        <w:drawing>
          <wp:inline distT="0" distB="0" distL="0" distR="0" wp14:anchorId="77353A67" wp14:editId="500E7123">
            <wp:extent cx="3891686" cy="220625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1998" cy="2206431"/>
                    </a:xfrm>
                    <a:prstGeom prst="rect">
                      <a:avLst/>
                    </a:prstGeom>
                    <a:noFill/>
                    <a:ln>
                      <a:noFill/>
                    </a:ln>
                  </pic:spPr>
                </pic:pic>
              </a:graphicData>
            </a:graphic>
          </wp:inline>
        </w:drawing>
      </w:r>
    </w:p>
    <w:p w:rsidR="004E2148" w:rsidRPr="00026D4C" w:rsidRDefault="00E4010C" w:rsidP="002A3594">
      <w:pPr>
        <w:spacing w:line="360" w:lineRule="auto"/>
        <w:ind w:right="-93"/>
        <w:jc w:val="both"/>
        <w:rPr>
          <w:rFonts w:ascii="Arial" w:hAnsi="Arial" w:cs="Arial"/>
          <w:sz w:val="24"/>
          <w:szCs w:val="24"/>
        </w:rPr>
      </w:pPr>
      <w:r>
        <w:rPr>
          <w:rFonts w:ascii="Arial" w:hAnsi="Arial" w:cs="Arial"/>
          <w:b/>
          <w:bCs/>
          <w:sz w:val="24"/>
          <w:szCs w:val="24"/>
        </w:rPr>
        <w:lastRenderedPageBreak/>
        <w:t>Figura 47</w:t>
      </w:r>
      <w:r w:rsidR="004E2148" w:rsidRPr="00026D4C">
        <w:rPr>
          <w:rFonts w:ascii="Arial" w:hAnsi="Arial" w:cs="Arial"/>
          <w:b/>
          <w:bCs/>
          <w:sz w:val="24"/>
          <w:szCs w:val="24"/>
        </w:rPr>
        <w:t xml:space="preserve"> </w:t>
      </w:r>
      <w:r w:rsidR="004E2148" w:rsidRPr="00026D4C">
        <w:rPr>
          <w:rFonts w:ascii="Arial" w:hAnsi="Arial" w:cs="Arial"/>
          <w:sz w:val="24"/>
          <w:szCs w:val="24"/>
        </w:rPr>
        <w:t>Distribución mundial de HLB, en color naranja se muestran los países con presencia de HLB. Fuente: Huanglongbing, HLB en México. López- Collado, J. Colegio de Postgraduados, Campus Veracruz. Marzo, 2013</w:t>
      </w:r>
    </w:p>
    <w:p w:rsidR="004E2148" w:rsidRPr="00026D4C" w:rsidRDefault="004E2148" w:rsidP="002A3594">
      <w:pPr>
        <w:spacing w:line="360" w:lineRule="auto"/>
        <w:ind w:right="-93"/>
        <w:rPr>
          <w:rFonts w:ascii="Arial" w:hAnsi="Arial" w:cs="Arial"/>
          <w:sz w:val="24"/>
          <w:szCs w:val="24"/>
        </w:rPr>
      </w:pPr>
      <w:r w:rsidRPr="00026D4C">
        <w:rPr>
          <w:rFonts w:ascii="Arial" w:hAnsi="Arial" w:cs="Arial"/>
          <w:noProof/>
          <w:sz w:val="24"/>
          <w:szCs w:val="24"/>
          <w:lang w:eastAsia="es-MX"/>
        </w:rPr>
        <w:drawing>
          <wp:inline distT="0" distB="0" distL="0" distR="0" wp14:anchorId="55171EF6" wp14:editId="730B95A3">
            <wp:extent cx="4829843" cy="294071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1024" cy="2941429"/>
                    </a:xfrm>
                    <a:prstGeom prst="rect">
                      <a:avLst/>
                    </a:prstGeom>
                    <a:noFill/>
                    <a:ln>
                      <a:noFill/>
                    </a:ln>
                  </pic:spPr>
                </pic:pic>
              </a:graphicData>
            </a:graphic>
          </wp:inline>
        </w:drawing>
      </w:r>
    </w:p>
    <w:p w:rsidR="004E2148" w:rsidRPr="00026D4C" w:rsidRDefault="00E4010C" w:rsidP="002A3594">
      <w:pPr>
        <w:spacing w:line="360" w:lineRule="auto"/>
        <w:ind w:right="-93"/>
        <w:jc w:val="both"/>
        <w:rPr>
          <w:rFonts w:ascii="Arial" w:hAnsi="Arial" w:cs="Arial"/>
          <w:sz w:val="24"/>
          <w:szCs w:val="24"/>
        </w:rPr>
      </w:pPr>
      <w:r>
        <w:rPr>
          <w:rFonts w:ascii="Arial" w:hAnsi="Arial" w:cs="Arial"/>
          <w:b/>
          <w:bCs/>
          <w:sz w:val="24"/>
          <w:szCs w:val="24"/>
        </w:rPr>
        <w:t>Figura 48</w:t>
      </w:r>
      <w:r w:rsidR="004E2148" w:rsidRPr="00026D4C">
        <w:rPr>
          <w:rFonts w:ascii="Arial" w:hAnsi="Arial" w:cs="Arial"/>
          <w:b/>
          <w:bCs/>
          <w:sz w:val="24"/>
          <w:szCs w:val="24"/>
        </w:rPr>
        <w:t xml:space="preserve"> </w:t>
      </w:r>
      <w:r w:rsidR="004E2148" w:rsidRPr="00026D4C">
        <w:rPr>
          <w:rFonts w:ascii="Arial" w:hAnsi="Arial" w:cs="Arial"/>
          <w:sz w:val="24"/>
          <w:szCs w:val="24"/>
        </w:rPr>
        <w:t>Distribución de HLB en 13 de los 23 estados citrícolas del país. Fuente: Huanglongbing, HLB en México. López- Collado, J. Colegio de Postgraduados, Campus Veracruz. Marzo, 2013.</w:t>
      </w:r>
    </w:p>
    <w:p w:rsidR="004E2148" w:rsidRPr="00026D4C" w:rsidRDefault="004E2148" w:rsidP="002A3594">
      <w:pPr>
        <w:spacing w:line="360" w:lineRule="auto"/>
        <w:ind w:right="-93"/>
        <w:jc w:val="both"/>
        <w:rPr>
          <w:rFonts w:ascii="Arial" w:hAnsi="Arial" w:cs="Arial"/>
          <w:sz w:val="24"/>
          <w:szCs w:val="24"/>
        </w:rPr>
      </w:pPr>
      <w:r w:rsidRPr="001A1756">
        <w:rPr>
          <w:rFonts w:ascii="Arial" w:hAnsi="Arial" w:cs="Arial"/>
          <w:i/>
          <w:sz w:val="24"/>
          <w:szCs w:val="24"/>
        </w:rPr>
        <w:t>Candidatus</w:t>
      </w:r>
      <w:r w:rsidRPr="00026D4C">
        <w:rPr>
          <w:rFonts w:ascii="Arial" w:hAnsi="Arial" w:cs="Arial"/>
          <w:sz w:val="24"/>
          <w:szCs w:val="24"/>
        </w:rPr>
        <w:t xml:space="preserve"> Liberibacter spp. es parte del subgrupo α de Protobacteria, dentro de la cual se encuentran tanto microorganismos patógenos de plantas (Agrobacterium tumefaciens), simbiontes (Bradyrhizobium spp.) así como patógenos de humanos (</w:t>
      </w:r>
      <w:r w:rsidRPr="0013506E">
        <w:rPr>
          <w:rFonts w:ascii="Arial" w:hAnsi="Arial" w:cs="Arial"/>
          <w:i/>
          <w:sz w:val="24"/>
          <w:szCs w:val="24"/>
        </w:rPr>
        <w:t>Rochalimea spp., Bartonella baciliformis, Brucella abortus, Afipia spp.,</w:t>
      </w:r>
      <w:r w:rsidRPr="00026D4C">
        <w:rPr>
          <w:rFonts w:ascii="Arial" w:hAnsi="Arial" w:cs="Arial"/>
          <w:sz w:val="24"/>
          <w:szCs w:val="24"/>
        </w:rPr>
        <w:t xml:space="preserve"> etc). Los microorganismos de este subgrupo viven en íntima asociación con células eucariotas, y en muchos casos, han adquirido la habilidad de sobrevivir y crecer dentro de un artrópodo que usan como vector, caso muy similar a la bacteria causal de HLB (Bové, J.M., 2006).</w:t>
      </w:r>
    </w:p>
    <w:p w:rsidR="004E2148" w:rsidRPr="00026D4C" w:rsidRDefault="004E2148" w:rsidP="002A3594">
      <w:pPr>
        <w:spacing w:line="360" w:lineRule="auto"/>
        <w:ind w:right="-93"/>
        <w:jc w:val="both"/>
        <w:rPr>
          <w:rFonts w:ascii="Arial" w:hAnsi="Arial" w:cs="Arial"/>
          <w:sz w:val="24"/>
          <w:szCs w:val="24"/>
        </w:rPr>
      </w:pPr>
      <w:r w:rsidRPr="00026D4C">
        <w:rPr>
          <w:rFonts w:ascii="Arial" w:hAnsi="Arial" w:cs="Arial"/>
          <w:sz w:val="24"/>
          <w:szCs w:val="24"/>
        </w:rPr>
        <w:t xml:space="preserve">Como se ha mencionado anteriormente, existen tres especies de la bacteria causante de HLB: </w:t>
      </w:r>
      <w:r w:rsidRPr="0013506E">
        <w:rPr>
          <w:rFonts w:ascii="Arial" w:hAnsi="Arial" w:cs="Arial"/>
          <w:i/>
          <w:sz w:val="24"/>
          <w:szCs w:val="24"/>
        </w:rPr>
        <w:t>americanus, asiaticus y africanus</w:t>
      </w:r>
      <w:r w:rsidRPr="00026D4C">
        <w:rPr>
          <w:rFonts w:ascii="Arial" w:hAnsi="Arial" w:cs="Arial"/>
          <w:sz w:val="24"/>
          <w:szCs w:val="24"/>
        </w:rPr>
        <w:t>. En México, se ha reportado la presencia únicamente de la variedad asiática desde el año 2004 (SENASICA, 2013).</w:t>
      </w:r>
    </w:p>
    <w:p w:rsidR="004E2148" w:rsidRPr="00026D4C" w:rsidRDefault="004E2148" w:rsidP="002A3594">
      <w:pPr>
        <w:spacing w:line="360" w:lineRule="auto"/>
        <w:ind w:right="-93"/>
        <w:jc w:val="both"/>
        <w:rPr>
          <w:rFonts w:ascii="Arial" w:hAnsi="Arial" w:cs="Arial"/>
          <w:sz w:val="24"/>
          <w:szCs w:val="24"/>
        </w:rPr>
      </w:pPr>
      <w:r w:rsidRPr="0013506E">
        <w:rPr>
          <w:rFonts w:ascii="Arial" w:hAnsi="Arial" w:cs="Arial"/>
          <w:i/>
          <w:sz w:val="24"/>
          <w:szCs w:val="24"/>
        </w:rPr>
        <w:lastRenderedPageBreak/>
        <w:t>Candidatus</w:t>
      </w:r>
      <w:r w:rsidRPr="00026D4C">
        <w:rPr>
          <w:rFonts w:ascii="Arial" w:hAnsi="Arial" w:cs="Arial"/>
          <w:sz w:val="24"/>
          <w:szCs w:val="24"/>
        </w:rPr>
        <w:t xml:space="preserve"> Liberibacter asiaticus es una bacteria gram negativa, lo que significa que tiene una pared celular compuesta por peptidoglicano, la cual es susceptible a enzimas que la destruyen como la lisozima en condiciones de alta presión hidrostática, (Marsschalk, B., et al., 2001), condición que es encontrada en floema.</w:t>
      </w:r>
    </w:p>
    <w:p w:rsidR="004E2148" w:rsidRPr="00026D4C" w:rsidRDefault="004E2148" w:rsidP="002A3594">
      <w:pPr>
        <w:spacing w:line="360" w:lineRule="auto"/>
        <w:ind w:right="-93"/>
        <w:jc w:val="both"/>
        <w:rPr>
          <w:rFonts w:ascii="Arial" w:hAnsi="Arial" w:cs="Arial"/>
          <w:sz w:val="24"/>
          <w:szCs w:val="24"/>
        </w:rPr>
      </w:pPr>
      <w:r w:rsidRPr="00026D4C">
        <w:rPr>
          <w:rFonts w:ascii="Arial" w:hAnsi="Arial" w:cs="Arial"/>
          <w:sz w:val="24"/>
          <w:szCs w:val="24"/>
        </w:rPr>
        <w:t>A pesar de que la bacteria es no cultivable, se ha podido secuenciar su genoma por medio de herramientas como la metagenómica, lo que ha puesto al descubierto información de este microorganismo: El tamaño del genoma de Ca. L. asiaticus es de 1.23 Mb y tiene en promedio un 36.5% en contenido de GC. La anotación del genoma reveló un alto porcentaje de genes involucrados tanto en motilidad celular (4.5%) como en transporte activo en general (8.0%), lo que probablemente contribuya con su virulencia. En cuanto a la respiración aerobia, Ca. L. asiaticus parece estar limitada en este aspecto, además de ser auxotrófo, en al menos cinco aminoácidos (triptófano, tirosina, leucina, isoleucina y valina). Por otro lado, Ca. L. asiaticus parece carecer de sistemas de secreción del tipo III y IV, lo cual es común en microorganismo de vida libre y aquellos que colonizan plantas, sin embargo Ca. L. asiaticus posee el sistema de secreción tipo I, necesario para la secreción de varios fármacos y</w:t>
      </w:r>
      <w:r w:rsidR="0061783C">
        <w:rPr>
          <w:rFonts w:ascii="Arial" w:hAnsi="Arial" w:cs="Arial"/>
          <w:sz w:val="24"/>
          <w:szCs w:val="24"/>
        </w:rPr>
        <w:t xml:space="preserve"> </w:t>
      </w:r>
      <w:r w:rsidRPr="00026D4C">
        <w:rPr>
          <w:rFonts w:ascii="Arial" w:hAnsi="Arial" w:cs="Arial"/>
          <w:sz w:val="24"/>
          <w:szCs w:val="24"/>
        </w:rPr>
        <w:t>toxinas (Yongping- Duan et al., 2009). También se confirmado la cercanía de</w:t>
      </w:r>
      <w:r w:rsidRPr="0013506E">
        <w:rPr>
          <w:rFonts w:ascii="Arial" w:hAnsi="Arial" w:cs="Arial"/>
          <w:i/>
          <w:sz w:val="24"/>
          <w:szCs w:val="24"/>
        </w:rPr>
        <w:t xml:space="preserve"> Ca</w:t>
      </w:r>
      <w:r w:rsidRPr="00026D4C">
        <w:rPr>
          <w:rFonts w:ascii="Arial" w:hAnsi="Arial" w:cs="Arial"/>
          <w:sz w:val="24"/>
          <w:szCs w:val="24"/>
        </w:rPr>
        <w:t xml:space="preserve">. L. asiaticus con la familia </w:t>
      </w:r>
      <w:r w:rsidRPr="0013506E">
        <w:rPr>
          <w:rFonts w:ascii="Arial" w:hAnsi="Arial" w:cs="Arial"/>
          <w:i/>
          <w:sz w:val="24"/>
          <w:szCs w:val="24"/>
        </w:rPr>
        <w:t>Rhizobiaceae</w:t>
      </w:r>
      <w:r w:rsidRPr="00026D4C">
        <w:rPr>
          <w:rFonts w:ascii="Arial" w:hAnsi="Arial" w:cs="Arial"/>
          <w:sz w:val="24"/>
          <w:szCs w:val="24"/>
        </w:rPr>
        <w:t xml:space="preserve"> por análisis filogenéticos de multi- proteínas (Williams et al. 2007; Doddapaneni et al. 2008</w:t>
      </w:r>
      <w:r w:rsidR="0061783C">
        <w:rPr>
          <w:rFonts w:ascii="Arial" w:hAnsi="Arial" w:cs="Arial"/>
          <w:sz w:val="24"/>
          <w:szCs w:val="24"/>
        </w:rPr>
        <w:t xml:space="preserve">; Yongping- Duan et al., 2009). </w:t>
      </w:r>
      <w:r w:rsidRPr="00026D4C">
        <w:rPr>
          <w:rFonts w:ascii="Arial" w:hAnsi="Arial" w:cs="Arial"/>
          <w:sz w:val="24"/>
          <w:szCs w:val="24"/>
        </w:rPr>
        <w:t>No existe indicio alguno que Ca. L. asiaticus actúe como patógeno en la planta, ya que el análisis del genoma no reveló toxinas, enzimas o sistemas de secreción especializados. Es en cambio el estilo de vida intracelular de Ca. L. asiaticus el que describe mejor a éste microorganismo como parasito en lugar de patógeno, en donde las causas de los síntomas de la enfermedad surgen principalmente como resultado de los desequilibrios metabólicos, agotamiento o la interferencia de nutrientes causada por la presencia de Candidatus en el floema (Yongping- Duan et al., 2009).</w:t>
      </w:r>
    </w:p>
    <w:p w:rsidR="004E2148" w:rsidRPr="00026D4C" w:rsidRDefault="004E2148" w:rsidP="002A3594">
      <w:pPr>
        <w:spacing w:line="360" w:lineRule="auto"/>
        <w:ind w:right="-93"/>
        <w:jc w:val="both"/>
        <w:rPr>
          <w:rFonts w:ascii="Arial" w:hAnsi="Arial" w:cs="Arial"/>
          <w:sz w:val="24"/>
          <w:szCs w:val="24"/>
        </w:rPr>
      </w:pPr>
      <w:r w:rsidRPr="00026D4C">
        <w:rPr>
          <w:rFonts w:ascii="Arial" w:hAnsi="Arial" w:cs="Arial"/>
          <w:sz w:val="24"/>
          <w:szCs w:val="24"/>
        </w:rPr>
        <w:t xml:space="preserve">Se han hecho investigaciones para determinar la localización de Ca. L. asiaticus en plantas de cítricos, demostrando que la localización y cantidad de la bacteria en el mismo árbol no es uniforme, (Texeira et al., 2008; Tatineni et al., 2008). Se ha </w:t>
      </w:r>
      <w:r w:rsidRPr="00026D4C">
        <w:rPr>
          <w:rFonts w:ascii="Arial" w:hAnsi="Arial" w:cs="Arial"/>
          <w:sz w:val="24"/>
          <w:szCs w:val="24"/>
        </w:rPr>
        <w:lastRenderedPageBreak/>
        <w:t xml:space="preserve">podido encontrar y cuantificar </w:t>
      </w:r>
      <w:r w:rsidRPr="0013506E">
        <w:rPr>
          <w:rFonts w:ascii="Arial" w:hAnsi="Arial" w:cs="Arial"/>
          <w:i/>
          <w:sz w:val="24"/>
          <w:szCs w:val="24"/>
        </w:rPr>
        <w:t>Ca.</w:t>
      </w:r>
      <w:r w:rsidRPr="00026D4C">
        <w:rPr>
          <w:rFonts w:ascii="Arial" w:hAnsi="Arial" w:cs="Arial"/>
          <w:sz w:val="24"/>
          <w:szCs w:val="24"/>
        </w:rPr>
        <w:t xml:space="preserve"> L. asiaticus en tejido de corteza, nervadura central de la hoja, raíces y en las diferentes partes frutales y florales de los árboles de cítricos variando de 14 a 137,031 células/μg DNA total, mientras que en el endospermo y en el embrión no se ha encontrado la bacteria (Tatineni et al., 2008).</w:t>
      </w:r>
    </w:p>
    <w:p w:rsidR="004E2148" w:rsidRPr="00026D4C" w:rsidRDefault="004E2148" w:rsidP="002A3594">
      <w:pPr>
        <w:spacing w:line="360" w:lineRule="auto"/>
        <w:ind w:right="-93"/>
        <w:rPr>
          <w:rFonts w:ascii="Arial" w:hAnsi="Arial" w:cs="Arial"/>
          <w:sz w:val="24"/>
          <w:szCs w:val="24"/>
        </w:rPr>
      </w:pPr>
      <w:r w:rsidRPr="00026D4C">
        <w:rPr>
          <w:rFonts w:ascii="Arial" w:hAnsi="Arial" w:cs="Arial"/>
          <w:sz w:val="24"/>
          <w:szCs w:val="24"/>
        </w:rPr>
        <w:t>La figura 7, muestra la distribución de la bacteria en la planta de acuerdo a Li, W. et al (2008):</w:t>
      </w:r>
    </w:p>
    <w:p w:rsidR="004E2148" w:rsidRPr="00026D4C" w:rsidRDefault="004E2148" w:rsidP="002A3594">
      <w:pPr>
        <w:spacing w:line="360" w:lineRule="auto"/>
        <w:ind w:right="-93"/>
        <w:jc w:val="center"/>
        <w:rPr>
          <w:rFonts w:ascii="Arial" w:hAnsi="Arial" w:cs="Arial"/>
          <w:sz w:val="24"/>
          <w:szCs w:val="24"/>
        </w:rPr>
      </w:pPr>
      <w:r w:rsidRPr="00026D4C">
        <w:rPr>
          <w:rFonts w:ascii="Arial" w:hAnsi="Arial" w:cs="Arial"/>
          <w:noProof/>
          <w:sz w:val="24"/>
          <w:szCs w:val="24"/>
          <w:lang w:eastAsia="es-MX"/>
        </w:rPr>
        <w:drawing>
          <wp:inline distT="0" distB="0" distL="0" distR="0" wp14:anchorId="1E7878FD" wp14:editId="0EC6559C">
            <wp:extent cx="3818535" cy="32032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8708" cy="3203440"/>
                    </a:xfrm>
                    <a:prstGeom prst="rect">
                      <a:avLst/>
                    </a:prstGeom>
                    <a:noFill/>
                    <a:ln>
                      <a:noFill/>
                    </a:ln>
                  </pic:spPr>
                </pic:pic>
              </a:graphicData>
            </a:graphic>
          </wp:inline>
        </w:drawing>
      </w:r>
    </w:p>
    <w:p w:rsidR="004E2148" w:rsidRPr="00026D4C" w:rsidRDefault="00E4010C" w:rsidP="002A3594">
      <w:pPr>
        <w:pStyle w:val="Default"/>
        <w:spacing w:line="360" w:lineRule="auto"/>
        <w:ind w:right="-93"/>
        <w:jc w:val="both"/>
      </w:pPr>
      <w:r>
        <w:rPr>
          <w:b/>
          <w:bCs/>
        </w:rPr>
        <w:t>Figura 49</w:t>
      </w:r>
      <w:r w:rsidR="004E2148" w:rsidRPr="00026D4C">
        <w:rPr>
          <w:b/>
          <w:bCs/>
        </w:rPr>
        <w:t xml:space="preserve"> </w:t>
      </w:r>
      <w:r w:rsidR="004E2148" w:rsidRPr="00026D4C">
        <w:t xml:space="preserve">Distribución de la bacteria Ca. L. </w:t>
      </w:r>
      <w:r w:rsidR="004E2148" w:rsidRPr="00026D4C">
        <w:rPr>
          <w:i/>
          <w:iCs/>
        </w:rPr>
        <w:t xml:space="preserve">asiaticus </w:t>
      </w:r>
      <w:r w:rsidR="004E2148" w:rsidRPr="00026D4C">
        <w:t xml:space="preserve">en plantas infectadas de limón. Los colores indican la cantidad de bacteria por gramo de muestra. Fuente: Tomado de Li, W. et al 2008. </w:t>
      </w:r>
    </w:p>
    <w:p w:rsidR="00376EFB" w:rsidRPr="00026D4C" w:rsidRDefault="00376EFB" w:rsidP="002A3594">
      <w:pPr>
        <w:pStyle w:val="Default"/>
        <w:spacing w:line="360" w:lineRule="auto"/>
        <w:ind w:right="-93"/>
      </w:pPr>
    </w:p>
    <w:p w:rsidR="00376EFB" w:rsidRPr="00026D4C" w:rsidRDefault="00376EFB" w:rsidP="002A3594">
      <w:pPr>
        <w:pStyle w:val="Default"/>
        <w:spacing w:line="360" w:lineRule="auto"/>
        <w:ind w:right="-93"/>
      </w:pPr>
    </w:p>
    <w:p w:rsidR="004E2148" w:rsidRPr="00026D4C" w:rsidRDefault="004E2148" w:rsidP="002A3594">
      <w:pPr>
        <w:pStyle w:val="Default"/>
        <w:spacing w:line="360" w:lineRule="auto"/>
        <w:ind w:right="-93"/>
        <w:jc w:val="both"/>
        <w:rPr>
          <w:color w:val="auto"/>
        </w:rPr>
      </w:pPr>
      <w:r w:rsidRPr="00026D4C">
        <w:t xml:space="preserve">Laflèche, D. y Bové, J.M., (1970) con ayuda del microscopio electrónico, fueron los primeros en reportar un agente patógeno dentro del floema, específicamente en los elementos cribosos, se trataba de Ca. L. </w:t>
      </w:r>
      <w:r w:rsidRPr="00026D4C">
        <w:rPr>
          <w:i/>
          <w:iCs/>
        </w:rPr>
        <w:t xml:space="preserve">asiaticus </w:t>
      </w:r>
      <w:r w:rsidRPr="00026D4C">
        <w:t xml:space="preserve">(Figura 8). Años más tarde, Schneider (1981) observó la acumulación masiva de almidón en hojas de cítricos infectados con HLB, explicando que se debía a la necrosis provocada en el sistema vascular de las plantas, específicamente en el floema, por la presencia de la </w:t>
      </w:r>
      <w:r w:rsidRPr="00026D4C">
        <w:lastRenderedPageBreak/>
        <w:t xml:space="preserve">bacteria en este tejido. Se ha observado que la acumulación de almidón en hojas de limón infectado con HLB puede ser incluso 20 veces mayor en comparación con árboles sanos (Etxeberria, E. et al., 2009). Esta acumulación excesiva de almidón en las hojas puede provocar incluso la desintegración del </w:t>
      </w:r>
      <w:r w:rsidRPr="00026D4C">
        <w:rPr>
          <w:color w:val="auto"/>
        </w:rPr>
        <w:t>sistema cloroplastos- tilacoides, causando los característicos puntos amarillos en las hojas infectadas (Etxeberria, E. et al., 2009).</w:t>
      </w:r>
    </w:p>
    <w:p w:rsidR="00376EFB" w:rsidRPr="00026D4C" w:rsidRDefault="00376EFB" w:rsidP="002A3594">
      <w:pPr>
        <w:pStyle w:val="Default"/>
        <w:spacing w:line="360" w:lineRule="auto"/>
        <w:ind w:right="-93"/>
        <w:rPr>
          <w:color w:val="auto"/>
        </w:rPr>
      </w:pPr>
    </w:p>
    <w:p w:rsidR="00376EFB" w:rsidRPr="00026D4C" w:rsidRDefault="00376EFB" w:rsidP="002A3594">
      <w:pPr>
        <w:pStyle w:val="Default"/>
        <w:spacing w:line="360" w:lineRule="auto"/>
        <w:ind w:right="-93"/>
      </w:pPr>
      <w:r w:rsidRPr="00026D4C">
        <w:rPr>
          <w:noProof/>
          <w:lang w:eastAsia="es-MX"/>
        </w:rPr>
        <w:drawing>
          <wp:inline distT="0" distB="0" distL="0" distR="0" wp14:anchorId="69CEF106" wp14:editId="43016B97">
            <wp:extent cx="5612130" cy="2572654"/>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572654"/>
                    </a:xfrm>
                    <a:prstGeom prst="rect">
                      <a:avLst/>
                    </a:prstGeom>
                    <a:noFill/>
                    <a:ln>
                      <a:noFill/>
                    </a:ln>
                  </pic:spPr>
                </pic:pic>
              </a:graphicData>
            </a:graphic>
          </wp:inline>
        </w:drawing>
      </w:r>
    </w:p>
    <w:p w:rsidR="00376EFB" w:rsidRPr="00026D4C" w:rsidRDefault="00376EFB" w:rsidP="002A3594">
      <w:pPr>
        <w:pStyle w:val="Default"/>
        <w:spacing w:line="360" w:lineRule="auto"/>
        <w:ind w:right="-93"/>
      </w:pPr>
    </w:p>
    <w:p w:rsidR="00376EFB" w:rsidRPr="00026D4C" w:rsidRDefault="00E4010C" w:rsidP="002A3594">
      <w:pPr>
        <w:pStyle w:val="Default"/>
        <w:spacing w:line="360" w:lineRule="auto"/>
        <w:ind w:right="-93"/>
        <w:jc w:val="both"/>
      </w:pPr>
      <w:r>
        <w:rPr>
          <w:b/>
          <w:bCs/>
        </w:rPr>
        <w:t>Figura 50</w:t>
      </w:r>
      <w:r w:rsidR="00376EFB" w:rsidRPr="00026D4C">
        <w:rPr>
          <w:b/>
          <w:bCs/>
        </w:rPr>
        <w:t xml:space="preserve"> </w:t>
      </w:r>
      <w:r w:rsidR="00376EFB" w:rsidRPr="00026D4C">
        <w:t xml:space="preserve">Primeras observaciones de Lafleche y Bove (1970) en microscopio electrónico de </w:t>
      </w:r>
      <w:r w:rsidR="00376EFB" w:rsidRPr="00026D4C">
        <w:rPr>
          <w:i/>
          <w:iCs/>
        </w:rPr>
        <w:t xml:space="preserve">Ca. </w:t>
      </w:r>
      <w:r w:rsidR="00376EFB" w:rsidRPr="00026D4C">
        <w:t xml:space="preserve">L. </w:t>
      </w:r>
      <w:r w:rsidR="00376EFB" w:rsidRPr="00026D4C">
        <w:rPr>
          <w:i/>
          <w:iCs/>
        </w:rPr>
        <w:t>spp</w:t>
      </w:r>
      <w:r w:rsidR="00376EFB" w:rsidRPr="00026D4C">
        <w:t>. dentro de los tubos cribosos de plantas infectadas con HLB. Fuente: Tomado de IVIA.</w:t>
      </w:r>
    </w:p>
    <w:p w:rsidR="00376EFB" w:rsidRPr="00026D4C" w:rsidRDefault="00376EFB" w:rsidP="002A3594">
      <w:pPr>
        <w:pStyle w:val="Default"/>
        <w:spacing w:line="360" w:lineRule="auto"/>
        <w:ind w:right="-93"/>
      </w:pPr>
    </w:p>
    <w:p w:rsidR="00376EFB" w:rsidRPr="00026D4C" w:rsidRDefault="00376EFB" w:rsidP="002A3594">
      <w:pPr>
        <w:pStyle w:val="Default"/>
        <w:spacing w:line="360" w:lineRule="auto"/>
        <w:ind w:right="-93"/>
        <w:jc w:val="both"/>
      </w:pPr>
      <w:r w:rsidRPr="00026D4C">
        <w:t xml:space="preserve">El almidón es un producto natural de polimerización de azúcares sintetizados en la fotosíntesis durante la fijación del CO2 en tejidos verdes. El almidón se forma por enlaces de glucosa α-1,4, existiendo dos tipos, la forma soluble, que consiste en una pequeña cadena de alfa amilosa sin ramificaciones, y la forma insoluble que está ramificada y que comúnmente se conoce como amilopectina (Smith, A.M., et al., 1987; Wang, T.L., et al., 1998). En células de tejido verde, el almidón se acumula durante el período de luz mientras que se moviliza durante la oscuridad o cuando la actividad fotosintética disminuye, para mantener un flujo constante hacia tejidos heterotróficos (Etxeberria, E. et al., 2009). Sin embargo, en las hojas de los </w:t>
      </w:r>
      <w:r w:rsidRPr="00026D4C">
        <w:lastRenderedPageBreak/>
        <w:t>cítricos, la acumulación de almidón ocurre a muy bajos niveles, a cualquier hora del período luz- oscuridad (Yelenosky, G. y Guy, C.L., 1977). Una vez que el almidón se acumula en las hojas de los cítricos, éste no es degrado, ni siquiera durante el período de oscuridad y éste permanece indefinidamente acumulado en las hojas (Etxeberria, E. et al., 2009).</w:t>
      </w:r>
    </w:p>
    <w:p w:rsidR="00376EFB" w:rsidRPr="00026D4C" w:rsidRDefault="00376EFB" w:rsidP="002A3594">
      <w:pPr>
        <w:pStyle w:val="Default"/>
        <w:spacing w:line="360" w:lineRule="auto"/>
        <w:ind w:right="-93"/>
        <w:jc w:val="both"/>
      </w:pPr>
      <w:r w:rsidRPr="00026D4C">
        <w:t>Estudios recientes han demostrado que en plantas de cítricos infectados con HLB, la acumulación de niveles anormales de almidón no está restringida a las hojas, como previamente se había sugerido, sino que existen evidencias de que también cúmulos de almidón se localizan en todos los tejidos de las partes aéreas, incluyendo peciolos, células del parénquima y en tejido vascular incluyendo el floema. Esta nueva información, refuerza la hipótesis de que la presencia de la bacteria altera el metabolismo de los carbohidratos en los cítricos (Etxeberria, E. et al., 2009). Sin embargo, resulta interesante que los niveles de almidón en las raíces de las plantas infectadas, está prácticamente abatido, en comparación con plantas sanas donde los niveles de almidón en raíces aunque mínimos, resultan ser importantes como reservas de energía. La usencia de reservas de almidón en raíces de plantas de cítricos infectados con HLB, parecer ser resultado de una severa disminución del transporte de fotoasimilados hacia la raíz, lo que causa una inanición en la planta, disminuyendo el tiempo de vida en los plantas infectadas (Etxeberria, E. et al., 2009).</w:t>
      </w:r>
    </w:p>
    <w:p w:rsidR="00376EFB" w:rsidRPr="00026D4C" w:rsidRDefault="00376EFB" w:rsidP="002A3594">
      <w:pPr>
        <w:pStyle w:val="Default"/>
        <w:spacing w:line="360" w:lineRule="auto"/>
        <w:ind w:right="-93"/>
        <w:jc w:val="both"/>
      </w:pPr>
      <w:r w:rsidRPr="00026D4C">
        <w:t>Estudios realizados sobre la acumulación de almidón en otras plantas vasculares ha sido asociado con un transporte deficiente a través de los plasmodesmos (Koh et al., 2011). Una mutante de maíz, deficiente en exportación de sacarosa (sxd1), exhibió una acumulación de almidón en los cloroplastos de las hojas y una inhi</w:t>
      </w:r>
      <w:r w:rsidR="004634C7">
        <w:t>bición en el trasporte simplásmi</w:t>
      </w:r>
      <w:r w:rsidRPr="00026D4C">
        <w:t xml:space="preserve">co entre células del tejido vascular y las células del parénquima en venas secundarias de las hojas (Russin, W.A., et al. 1996; Botha, C.E.J., et al. 2000). Por otro lado, la sobreexpresión de proteínas de movimiento en el virus del mosaico de tabaco (TMV), interfiere en la exportación de fotoasimilados desde las hojas de tabaco, e incrementa los niveles de carbohidratos en éstas, lo que se asocia con una oclusión de los plasmodesmos (Almon et al., 1997; Rinne et al., 2005). Recientemente, fue reportado que como </w:t>
      </w:r>
      <w:r w:rsidRPr="00026D4C">
        <w:lastRenderedPageBreak/>
        <w:t>consecuencia de la</w:t>
      </w:r>
      <w:r w:rsidR="0061783C">
        <w:t xml:space="preserve"> </w:t>
      </w:r>
      <w:r w:rsidRPr="00026D4C">
        <w:t>sobreexpresión de glicoproteínas en plasmodesmos, hay una inhibición de propagación de TMV a través de los plasmodesmos, acompañado de una acumulación de almidón y de fotoasimilados en las hojas de tabaco, sugiriendo que el transporte simplástico es necesario para la exportación de fotoasimilados (Zavaliev et al. 2010).</w:t>
      </w:r>
    </w:p>
    <w:p w:rsidR="00376EFB" w:rsidRPr="00026D4C" w:rsidRDefault="00376EFB" w:rsidP="002A3594">
      <w:pPr>
        <w:pStyle w:val="Default"/>
        <w:spacing w:line="360" w:lineRule="auto"/>
        <w:ind w:right="-93"/>
        <w:jc w:val="both"/>
      </w:pPr>
      <w:r w:rsidRPr="00026D4C">
        <w:t>Aunado a la acumulación de almidón en las hojas infectadas con HLB, recientemente se ha observado que también la callosa se acumula, interfiriendo también con el transporte a través de los plasmodesmos (Koh et al., 2011). La pared celular que rodea a los plasmodesmos es rica en callosa, sin embargo altos niveles de callosa puede inhibir el transporte través de ellos. La síntesis de callosa en los plasmodesmos es inducido por estrés tanto biótico como abiótico, infecciones virales, toxicidad por metales, plasmólisis celular y por heridas (Koh et al., 2011; Rinne y Schoot, 2003; Roberts y Oparka, 2003; Sivaguru et al. 2000; Drake et al.1978; Radford et al.1998).</w:t>
      </w:r>
    </w:p>
    <w:p w:rsidR="00376EFB" w:rsidRPr="00026D4C" w:rsidRDefault="00376EFB" w:rsidP="002A3594">
      <w:pPr>
        <w:pStyle w:val="Default"/>
        <w:spacing w:line="360" w:lineRule="auto"/>
        <w:ind w:right="-93"/>
      </w:pPr>
      <w:r w:rsidRPr="00026D4C">
        <w:t>1.2.5. Acciones de control de HLB</w:t>
      </w:r>
    </w:p>
    <w:p w:rsidR="00376EFB" w:rsidRPr="00026D4C" w:rsidRDefault="00376EFB" w:rsidP="002A3594">
      <w:pPr>
        <w:pStyle w:val="Default"/>
        <w:spacing w:line="360" w:lineRule="auto"/>
        <w:ind w:right="-93"/>
        <w:jc w:val="both"/>
      </w:pPr>
      <w:r w:rsidRPr="00026D4C">
        <w:t>El HLB puede ser controlado únicamente con un programa coordinado entre los viveristas, productores y agencias del gobierno. Se tienen que producir plantas de vivero libres de la bacteria y siempre es mejor mantener las plantas madres bajo malla o en invernaderos cerrados, protegidas del vector. Una práctica importante es reducir el inóculo por eliminación de las plantas infectadas (Fundecitrus 2008).</w:t>
      </w:r>
    </w:p>
    <w:p w:rsidR="00376EFB" w:rsidRPr="00026D4C" w:rsidRDefault="00376EFB" w:rsidP="002A3594">
      <w:pPr>
        <w:pStyle w:val="Default"/>
        <w:spacing w:line="360" w:lineRule="auto"/>
        <w:ind w:right="-93"/>
        <w:jc w:val="both"/>
      </w:pPr>
      <w:r w:rsidRPr="00026D4C">
        <w:t>Debe mantenerse vigilancia mediante monitoreo de las poblaciones de los vectores y aplicar medidas de control cuando sea necesario. En árboles maduros se aplican insecticidas sistémicos; aunque el control en árboles maduros no es tan efectivo. Las aplicaciones deben hacerse de tal forma que se eviten efectos adversos sobre insectos benéficos.</w:t>
      </w:r>
      <w:r w:rsidR="0061783C">
        <w:t xml:space="preserve"> </w:t>
      </w:r>
      <w:r w:rsidRPr="00026D4C">
        <w:t>El control biológico del vector ha tenido éxito mediante el parasitoide Tamarixia radiata importado de África del Sur, pero la presencia de hiperparásitos ha limitado esa forma de control en otras zonas (Ramos- Mendez, C., 2008).</w:t>
      </w:r>
    </w:p>
    <w:p w:rsidR="00376EFB" w:rsidRDefault="00376EFB" w:rsidP="002A3594">
      <w:pPr>
        <w:pStyle w:val="Default"/>
        <w:spacing w:line="360" w:lineRule="auto"/>
        <w:ind w:right="-93"/>
        <w:jc w:val="both"/>
      </w:pPr>
      <w:r w:rsidRPr="00026D4C">
        <w:t xml:space="preserve">Sin embargo, los actuales métodos de control no eliminan a la bacteria causante de la enfermedad, ya que únicamente se centran en el control del vector y en el hospedero de la bacteria. Actualmente no existe una cura para la enfermedad de </w:t>
      </w:r>
      <w:r w:rsidRPr="00026D4C">
        <w:lastRenderedPageBreak/>
        <w:t>HLB, debido principalmente a que la bacteria es no cultivable y a la localización dentro del floema de la bacteria, donde el transporte es altamente selectivo y regulado por mecanismos todavía no claramente conocidos en la entrada del plasmodesmo.</w:t>
      </w:r>
    </w:p>
    <w:p w:rsidR="00E4010C" w:rsidRPr="00026D4C" w:rsidRDefault="00E4010C" w:rsidP="002A3594">
      <w:pPr>
        <w:pStyle w:val="Default"/>
        <w:spacing w:line="360" w:lineRule="auto"/>
        <w:ind w:right="-93"/>
        <w:jc w:val="both"/>
      </w:pPr>
    </w:p>
    <w:p w:rsidR="00376EFB" w:rsidRPr="0013506E" w:rsidRDefault="00376EFB" w:rsidP="002A3594">
      <w:pPr>
        <w:pStyle w:val="Default"/>
        <w:spacing w:line="360" w:lineRule="auto"/>
        <w:ind w:right="-93"/>
        <w:rPr>
          <w:b/>
        </w:rPr>
      </w:pPr>
      <w:r w:rsidRPr="0013506E">
        <w:rPr>
          <w:b/>
        </w:rPr>
        <w:t>Expresión de antimicrobianos en plantas</w:t>
      </w:r>
    </w:p>
    <w:p w:rsidR="00376EFB" w:rsidRPr="00026D4C" w:rsidRDefault="00376EFB" w:rsidP="002A3594">
      <w:pPr>
        <w:pStyle w:val="Default"/>
        <w:spacing w:line="360" w:lineRule="auto"/>
        <w:ind w:right="-93"/>
        <w:jc w:val="both"/>
      </w:pPr>
      <w:r w:rsidRPr="00026D4C">
        <w:t xml:space="preserve">La mejora de los cultivos se ha realizado por técnicas tradicionales por cientos e incluso miles de años. Sin embargo, estos métodos tienen la desventaja de ser lentos en la maduración y crecimiento de las plantas, y los frutos suelen presentar incompatibilidad postcigótica, partenocarpia y poliembriones. Además, debido a </w:t>
      </w:r>
      <w:r w:rsidR="0013506E">
        <w:t xml:space="preserve">su biología, </w:t>
      </w:r>
      <w:r w:rsidRPr="00026D4C">
        <w:t xml:space="preserve">la planta no puede incorporar características deseadas de manera rápida utilizando los métodos tradicionales, esto ha sido una clara desventaja en cuanto a obtener plantas resistentes a enfermedades (Febres, V. 2011). Es por ello, que la ingeniería genética ofrece una alternativa viable, usando métodos de transformación que permita obtener en un período relativamente corto plantas genéticamente modificadas, que expresen proteínas o péptidos </w:t>
      </w:r>
      <w:r w:rsidR="0098569F">
        <w:t xml:space="preserve">para conferir </w:t>
      </w:r>
      <w:r w:rsidRPr="00026D4C">
        <w:t>resistencia a enf</w:t>
      </w:r>
      <w:r w:rsidR="0098569F">
        <w:t xml:space="preserve">ermedades, </w:t>
      </w:r>
      <w:r w:rsidRPr="00026D4C">
        <w:t>resistencia a sequía, etc (During, K., 1996; Gurr, S.H. et al., 2005; van der Viezen, E.A., 2001: Montesinos, E., 2007).</w:t>
      </w:r>
      <w:r w:rsidR="0061783C">
        <w:t xml:space="preserve"> </w:t>
      </w:r>
    </w:p>
    <w:p w:rsidR="000163F7" w:rsidRPr="00C66D5E" w:rsidRDefault="000163F7" w:rsidP="002A3594">
      <w:pPr>
        <w:spacing w:line="360" w:lineRule="auto"/>
        <w:ind w:right="-93"/>
        <w:jc w:val="both"/>
        <w:rPr>
          <w:rFonts w:ascii="Arial" w:hAnsi="Arial" w:cs="Arial"/>
          <w:sz w:val="24"/>
          <w:szCs w:val="24"/>
        </w:rPr>
      </w:pPr>
    </w:p>
    <w:sectPr w:rsidR="000163F7" w:rsidRPr="00C66D5E">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4CA" w:rsidRDefault="00C074CA" w:rsidP="007416DE">
      <w:pPr>
        <w:spacing w:after="0" w:line="240" w:lineRule="auto"/>
      </w:pPr>
      <w:r>
        <w:separator/>
      </w:r>
    </w:p>
  </w:endnote>
  <w:endnote w:type="continuationSeparator" w:id="0">
    <w:p w:rsidR="00C074CA" w:rsidRDefault="00C074CA" w:rsidP="00741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676143"/>
      <w:docPartObj>
        <w:docPartGallery w:val="Page Numbers (Bottom of Page)"/>
        <w:docPartUnique/>
      </w:docPartObj>
    </w:sdtPr>
    <w:sdtEndPr/>
    <w:sdtContent>
      <w:p w:rsidR="00EA1725" w:rsidRDefault="00EA1725">
        <w:pPr>
          <w:pStyle w:val="Piedepgina"/>
          <w:jc w:val="right"/>
        </w:pPr>
        <w:r>
          <w:fldChar w:fldCharType="begin"/>
        </w:r>
        <w:r>
          <w:instrText>PAGE   \* MERGEFORMAT</w:instrText>
        </w:r>
        <w:r>
          <w:fldChar w:fldCharType="separate"/>
        </w:r>
        <w:r w:rsidR="005578AB" w:rsidRPr="005578AB">
          <w:rPr>
            <w:noProof/>
            <w:lang w:val="es-ES"/>
          </w:rPr>
          <w:t>2</w:t>
        </w:r>
        <w:r>
          <w:fldChar w:fldCharType="end"/>
        </w:r>
      </w:p>
    </w:sdtContent>
  </w:sdt>
  <w:p w:rsidR="00206690" w:rsidRDefault="002066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4CA" w:rsidRDefault="00C074CA" w:rsidP="007416DE">
      <w:pPr>
        <w:spacing w:after="0" w:line="240" w:lineRule="auto"/>
      </w:pPr>
      <w:r>
        <w:separator/>
      </w:r>
    </w:p>
  </w:footnote>
  <w:footnote w:type="continuationSeparator" w:id="0">
    <w:p w:rsidR="00C074CA" w:rsidRDefault="00C074CA" w:rsidP="007416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27C23"/>
    <w:multiLevelType w:val="hybridMultilevel"/>
    <w:tmpl w:val="14E04C30"/>
    <w:lvl w:ilvl="0" w:tplc="D58A99B4">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FDB5516"/>
    <w:multiLevelType w:val="hybridMultilevel"/>
    <w:tmpl w:val="15B65B76"/>
    <w:lvl w:ilvl="0" w:tplc="3B047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6B087C"/>
    <w:multiLevelType w:val="hybridMultilevel"/>
    <w:tmpl w:val="851ABCA6"/>
    <w:lvl w:ilvl="0" w:tplc="277AC86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371A1EC5"/>
    <w:multiLevelType w:val="hybridMultilevel"/>
    <w:tmpl w:val="6B3EC2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FF25897"/>
    <w:multiLevelType w:val="hybridMultilevel"/>
    <w:tmpl w:val="1B804E1A"/>
    <w:lvl w:ilvl="0" w:tplc="0C4E91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31C2528"/>
    <w:multiLevelType w:val="hybridMultilevel"/>
    <w:tmpl w:val="EDAA202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2A6"/>
    <w:rsid w:val="0000018A"/>
    <w:rsid w:val="0000486E"/>
    <w:rsid w:val="000049E4"/>
    <w:rsid w:val="000163F7"/>
    <w:rsid w:val="0002031E"/>
    <w:rsid w:val="00026D4C"/>
    <w:rsid w:val="00034251"/>
    <w:rsid w:val="000517C8"/>
    <w:rsid w:val="00054A7F"/>
    <w:rsid w:val="000715DA"/>
    <w:rsid w:val="000C2CEE"/>
    <w:rsid w:val="000D35B9"/>
    <w:rsid w:val="0011370E"/>
    <w:rsid w:val="00121597"/>
    <w:rsid w:val="0012457D"/>
    <w:rsid w:val="0013506E"/>
    <w:rsid w:val="00142D63"/>
    <w:rsid w:val="00160331"/>
    <w:rsid w:val="001626C5"/>
    <w:rsid w:val="00163A45"/>
    <w:rsid w:val="00163E4D"/>
    <w:rsid w:val="001740CD"/>
    <w:rsid w:val="00175C41"/>
    <w:rsid w:val="00175DC5"/>
    <w:rsid w:val="00177252"/>
    <w:rsid w:val="00180F7E"/>
    <w:rsid w:val="00192711"/>
    <w:rsid w:val="001A1756"/>
    <w:rsid w:val="001A4EB2"/>
    <w:rsid w:val="001B207A"/>
    <w:rsid w:val="001B2D13"/>
    <w:rsid w:val="001B6AF0"/>
    <w:rsid w:val="001D2FA1"/>
    <w:rsid w:val="001D62A1"/>
    <w:rsid w:val="001D7EC5"/>
    <w:rsid w:val="001E094B"/>
    <w:rsid w:val="001E4A09"/>
    <w:rsid w:val="001E6DDD"/>
    <w:rsid w:val="00206690"/>
    <w:rsid w:val="00222B95"/>
    <w:rsid w:val="00224DCE"/>
    <w:rsid w:val="0022532B"/>
    <w:rsid w:val="00233D53"/>
    <w:rsid w:val="002340E9"/>
    <w:rsid w:val="0025155C"/>
    <w:rsid w:val="00273BDF"/>
    <w:rsid w:val="002764DE"/>
    <w:rsid w:val="00283ED8"/>
    <w:rsid w:val="0028514D"/>
    <w:rsid w:val="00286424"/>
    <w:rsid w:val="00294482"/>
    <w:rsid w:val="002A3594"/>
    <w:rsid w:val="002C159C"/>
    <w:rsid w:val="002C4EF3"/>
    <w:rsid w:val="002C6C0C"/>
    <w:rsid w:val="002D36CE"/>
    <w:rsid w:val="002E581D"/>
    <w:rsid w:val="002E6A2F"/>
    <w:rsid w:val="00300CD5"/>
    <w:rsid w:val="003241B2"/>
    <w:rsid w:val="0032448A"/>
    <w:rsid w:val="00344087"/>
    <w:rsid w:val="00345474"/>
    <w:rsid w:val="00351A65"/>
    <w:rsid w:val="00361829"/>
    <w:rsid w:val="00364E24"/>
    <w:rsid w:val="00376EFB"/>
    <w:rsid w:val="00384475"/>
    <w:rsid w:val="00387080"/>
    <w:rsid w:val="003937AD"/>
    <w:rsid w:val="003B6329"/>
    <w:rsid w:val="003C01F7"/>
    <w:rsid w:val="003C4B90"/>
    <w:rsid w:val="003D2132"/>
    <w:rsid w:val="003D2B9A"/>
    <w:rsid w:val="003D6ADE"/>
    <w:rsid w:val="003E047C"/>
    <w:rsid w:val="003E3C91"/>
    <w:rsid w:val="003E538A"/>
    <w:rsid w:val="00410B82"/>
    <w:rsid w:val="004258DB"/>
    <w:rsid w:val="00440F20"/>
    <w:rsid w:val="0044145F"/>
    <w:rsid w:val="004427B0"/>
    <w:rsid w:val="004439C8"/>
    <w:rsid w:val="00446FC7"/>
    <w:rsid w:val="00453851"/>
    <w:rsid w:val="004634C7"/>
    <w:rsid w:val="004824C6"/>
    <w:rsid w:val="00497E7E"/>
    <w:rsid w:val="004A5FFF"/>
    <w:rsid w:val="004A6952"/>
    <w:rsid w:val="004E2148"/>
    <w:rsid w:val="004F75D7"/>
    <w:rsid w:val="00500441"/>
    <w:rsid w:val="0051650D"/>
    <w:rsid w:val="0053550F"/>
    <w:rsid w:val="00536A3B"/>
    <w:rsid w:val="0054574C"/>
    <w:rsid w:val="005578AB"/>
    <w:rsid w:val="00560BB1"/>
    <w:rsid w:val="00567FCC"/>
    <w:rsid w:val="00571349"/>
    <w:rsid w:val="00575026"/>
    <w:rsid w:val="005770CF"/>
    <w:rsid w:val="005A0904"/>
    <w:rsid w:val="005A0F14"/>
    <w:rsid w:val="005A32CD"/>
    <w:rsid w:val="005A4FDF"/>
    <w:rsid w:val="005F60B3"/>
    <w:rsid w:val="006123AC"/>
    <w:rsid w:val="0061783C"/>
    <w:rsid w:val="006352CD"/>
    <w:rsid w:val="0064728A"/>
    <w:rsid w:val="00651F32"/>
    <w:rsid w:val="00666E43"/>
    <w:rsid w:val="00673229"/>
    <w:rsid w:val="006A42DB"/>
    <w:rsid w:val="006B260C"/>
    <w:rsid w:val="006F2F71"/>
    <w:rsid w:val="006F3286"/>
    <w:rsid w:val="00701B9C"/>
    <w:rsid w:val="00704FEF"/>
    <w:rsid w:val="007053A9"/>
    <w:rsid w:val="00715B08"/>
    <w:rsid w:val="00727519"/>
    <w:rsid w:val="00731EDE"/>
    <w:rsid w:val="00731F53"/>
    <w:rsid w:val="007323B2"/>
    <w:rsid w:val="00732F93"/>
    <w:rsid w:val="007354FD"/>
    <w:rsid w:val="00737323"/>
    <w:rsid w:val="007416DE"/>
    <w:rsid w:val="0074227A"/>
    <w:rsid w:val="007632DF"/>
    <w:rsid w:val="007950EE"/>
    <w:rsid w:val="007A0D5D"/>
    <w:rsid w:val="007A3093"/>
    <w:rsid w:val="007D206B"/>
    <w:rsid w:val="007E6D34"/>
    <w:rsid w:val="007F2B36"/>
    <w:rsid w:val="00814868"/>
    <w:rsid w:val="00815D4C"/>
    <w:rsid w:val="008213D4"/>
    <w:rsid w:val="00824182"/>
    <w:rsid w:val="008419D6"/>
    <w:rsid w:val="00885B95"/>
    <w:rsid w:val="008C0602"/>
    <w:rsid w:val="008C522F"/>
    <w:rsid w:val="00901E4A"/>
    <w:rsid w:val="009158E8"/>
    <w:rsid w:val="00931DCD"/>
    <w:rsid w:val="0094501C"/>
    <w:rsid w:val="00950D0D"/>
    <w:rsid w:val="00951909"/>
    <w:rsid w:val="0096468D"/>
    <w:rsid w:val="00982595"/>
    <w:rsid w:val="00984B01"/>
    <w:rsid w:val="0098569F"/>
    <w:rsid w:val="00987670"/>
    <w:rsid w:val="00987F5A"/>
    <w:rsid w:val="00993075"/>
    <w:rsid w:val="00997FA8"/>
    <w:rsid w:val="009A3950"/>
    <w:rsid w:val="009A65A6"/>
    <w:rsid w:val="009B110C"/>
    <w:rsid w:val="009B22FC"/>
    <w:rsid w:val="009D2C0E"/>
    <w:rsid w:val="009D6689"/>
    <w:rsid w:val="009D6A83"/>
    <w:rsid w:val="00A05549"/>
    <w:rsid w:val="00A12BE6"/>
    <w:rsid w:val="00A32B4F"/>
    <w:rsid w:val="00A36379"/>
    <w:rsid w:val="00A54A40"/>
    <w:rsid w:val="00A556DF"/>
    <w:rsid w:val="00A64281"/>
    <w:rsid w:val="00A65FEA"/>
    <w:rsid w:val="00A66A7A"/>
    <w:rsid w:val="00A67879"/>
    <w:rsid w:val="00AB3FE9"/>
    <w:rsid w:val="00AC0BB4"/>
    <w:rsid w:val="00AD6AFF"/>
    <w:rsid w:val="00AF5F3B"/>
    <w:rsid w:val="00B046BD"/>
    <w:rsid w:val="00B23F8A"/>
    <w:rsid w:val="00B246E3"/>
    <w:rsid w:val="00B32D3E"/>
    <w:rsid w:val="00B4796A"/>
    <w:rsid w:val="00B5727C"/>
    <w:rsid w:val="00B62768"/>
    <w:rsid w:val="00B6319F"/>
    <w:rsid w:val="00B72F09"/>
    <w:rsid w:val="00B75B85"/>
    <w:rsid w:val="00B93B72"/>
    <w:rsid w:val="00B97561"/>
    <w:rsid w:val="00BA1FD5"/>
    <w:rsid w:val="00BA7555"/>
    <w:rsid w:val="00BA7C1B"/>
    <w:rsid w:val="00BB5E0A"/>
    <w:rsid w:val="00BB690E"/>
    <w:rsid w:val="00BD01C9"/>
    <w:rsid w:val="00BE0084"/>
    <w:rsid w:val="00C054E5"/>
    <w:rsid w:val="00C074CA"/>
    <w:rsid w:val="00C66D5E"/>
    <w:rsid w:val="00C950DC"/>
    <w:rsid w:val="00CB181F"/>
    <w:rsid w:val="00CB6070"/>
    <w:rsid w:val="00CC5586"/>
    <w:rsid w:val="00CD2E5F"/>
    <w:rsid w:val="00CD5802"/>
    <w:rsid w:val="00D02F70"/>
    <w:rsid w:val="00D13ACA"/>
    <w:rsid w:val="00D13CEF"/>
    <w:rsid w:val="00D15F42"/>
    <w:rsid w:val="00D2572E"/>
    <w:rsid w:val="00D327F4"/>
    <w:rsid w:val="00D3566F"/>
    <w:rsid w:val="00D35796"/>
    <w:rsid w:val="00D438B7"/>
    <w:rsid w:val="00D530A7"/>
    <w:rsid w:val="00D63E13"/>
    <w:rsid w:val="00D855DF"/>
    <w:rsid w:val="00D97C9E"/>
    <w:rsid w:val="00DB3AC5"/>
    <w:rsid w:val="00DC02D4"/>
    <w:rsid w:val="00DD0FF7"/>
    <w:rsid w:val="00DD63E9"/>
    <w:rsid w:val="00DE33E4"/>
    <w:rsid w:val="00DE3AF2"/>
    <w:rsid w:val="00DE42A6"/>
    <w:rsid w:val="00E030B3"/>
    <w:rsid w:val="00E11FB6"/>
    <w:rsid w:val="00E13767"/>
    <w:rsid w:val="00E14158"/>
    <w:rsid w:val="00E247D0"/>
    <w:rsid w:val="00E33CA7"/>
    <w:rsid w:val="00E361FA"/>
    <w:rsid w:val="00E4010C"/>
    <w:rsid w:val="00E401B8"/>
    <w:rsid w:val="00E77BB5"/>
    <w:rsid w:val="00E91F6F"/>
    <w:rsid w:val="00E948D9"/>
    <w:rsid w:val="00EA1725"/>
    <w:rsid w:val="00EA1B7B"/>
    <w:rsid w:val="00EA4479"/>
    <w:rsid w:val="00EB1A00"/>
    <w:rsid w:val="00F1727C"/>
    <w:rsid w:val="00F53E6A"/>
    <w:rsid w:val="00F677F5"/>
    <w:rsid w:val="00F76E3A"/>
    <w:rsid w:val="00F85C31"/>
    <w:rsid w:val="00F87664"/>
    <w:rsid w:val="00F935B2"/>
    <w:rsid w:val="00FA4F9C"/>
    <w:rsid w:val="00FF1B18"/>
    <w:rsid w:val="00FF55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51650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64DE"/>
    <w:pPr>
      <w:ind w:left="720"/>
      <w:contextualSpacing/>
    </w:pPr>
  </w:style>
  <w:style w:type="paragraph" w:customStyle="1" w:styleId="Default">
    <w:name w:val="Default"/>
    <w:rsid w:val="004E2148"/>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0163F7"/>
    <w:rPr>
      <w:color w:val="0000FF" w:themeColor="hyperlink"/>
      <w:u w:val="single"/>
    </w:rPr>
  </w:style>
  <w:style w:type="paragraph" w:styleId="Encabezado">
    <w:name w:val="header"/>
    <w:basedOn w:val="Normal"/>
    <w:link w:val="EncabezadoCar"/>
    <w:uiPriority w:val="99"/>
    <w:unhideWhenUsed/>
    <w:rsid w:val="00741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16DE"/>
  </w:style>
  <w:style w:type="paragraph" w:styleId="Piedepgina">
    <w:name w:val="footer"/>
    <w:basedOn w:val="Normal"/>
    <w:link w:val="PiedepginaCar"/>
    <w:uiPriority w:val="99"/>
    <w:unhideWhenUsed/>
    <w:rsid w:val="00741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16DE"/>
  </w:style>
  <w:style w:type="paragraph" w:styleId="NormalWeb">
    <w:name w:val="Normal (Web)"/>
    <w:basedOn w:val="Normal"/>
    <w:uiPriority w:val="99"/>
    <w:unhideWhenUsed/>
    <w:rsid w:val="00A363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HTMLconformatoprevio">
    <w:name w:val="HTML Preformatted"/>
    <w:basedOn w:val="Normal"/>
    <w:link w:val="HTMLconformatoprevioCar"/>
    <w:uiPriority w:val="99"/>
    <w:semiHidden/>
    <w:unhideWhenUsed/>
    <w:rsid w:val="00A36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36379"/>
    <w:rPr>
      <w:rFonts w:ascii="Courier New" w:eastAsia="Times New Roman" w:hAnsi="Courier New" w:cs="Courier New"/>
      <w:sz w:val="20"/>
      <w:szCs w:val="20"/>
      <w:lang w:eastAsia="es-MX"/>
    </w:rPr>
  </w:style>
  <w:style w:type="character" w:customStyle="1" w:styleId="Ttulo1Car">
    <w:name w:val="Título 1 Car"/>
    <w:basedOn w:val="Fuentedeprrafopredeter"/>
    <w:link w:val="Ttulo1"/>
    <w:uiPriority w:val="9"/>
    <w:rsid w:val="0051650D"/>
    <w:rPr>
      <w:rFonts w:ascii="Times New Roman" w:eastAsia="Times New Roman" w:hAnsi="Times New Roman" w:cs="Times New Roman"/>
      <w:b/>
      <w:bCs/>
      <w:kern w:val="36"/>
      <w:sz w:val="48"/>
      <w:szCs w:val="48"/>
      <w:lang w:val="es-ES" w:eastAsia="es-ES"/>
    </w:rPr>
  </w:style>
  <w:style w:type="paragraph" w:customStyle="1" w:styleId="Listamulticolor-nfasis11">
    <w:name w:val="Lista multicolor - Énfasis 11"/>
    <w:basedOn w:val="Normal"/>
    <w:qFormat/>
    <w:rsid w:val="0051650D"/>
    <w:pPr>
      <w:spacing w:after="0" w:line="240" w:lineRule="auto"/>
      <w:ind w:left="720"/>
      <w:contextualSpacing/>
    </w:pPr>
    <w:rPr>
      <w:rFonts w:ascii="Cambria" w:eastAsia="Cambria" w:hAnsi="Cambria" w:cs="Times New Roman"/>
      <w:sz w:val="24"/>
      <w:szCs w:val="24"/>
      <w:lang w:val="en-US"/>
    </w:rPr>
  </w:style>
  <w:style w:type="character" w:customStyle="1" w:styleId="apple-converted-space">
    <w:name w:val="apple-converted-space"/>
    <w:basedOn w:val="Fuentedeprrafopredeter"/>
    <w:rsid w:val="0051650D"/>
  </w:style>
  <w:style w:type="paragraph" w:customStyle="1" w:styleId="desc">
    <w:name w:val="desc"/>
    <w:basedOn w:val="Normal"/>
    <w:rsid w:val="0051650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jrnl">
    <w:name w:val="jrnl"/>
    <w:basedOn w:val="Fuentedeprrafopredeter"/>
    <w:rsid w:val="0051650D"/>
  </w:style>
  <w:style w:type="character" w:customStyle="1" w:styleId="highlight">
    <w:name w:val="highlight"/>
    <w:basedOn w:val="Fuentedeprrafopredeter"/>
    <w:rsid w:val="0051650D"/>
  </w:style>
  <w:style w:type="table" w:styleId="Tablaconcuadrcula">
    <w:name w:val="Table Grid"/>
    <w:basedOn w:val="Tablanormal"/>
    <w:uiPriority w:val="59"/>
    <w:rsid w:val="001B6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51650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64DE"/>
    <w:pPr>
      <w:ind w:left="720"/>
      <w:contextualSpacing/>
    </w:pPr>
  </w:style>
  <w:style w:type="paragraph" w:customStyle="1" w:styleId="Default">
    <w:name w:val="Default"/>
    <w:rsid w:val="004E2148"/>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0163F7"/>
    <w:rPr>
      <w:color w:val="0000FF" w:themeColor="hyperlink"/>
      <w:u w:val="single"/>
    </w:rPr>
  </w:style>
  <w:style w:type="paragraph" w:styleId="Encabezado">
    <w:name w:val="header"/>
    <w:basedOn w:val="Normal"/>
    <w:link w:val="EncabezadoCar"/>
    <w:uiPriority w:val="99"/>
    <w:unhideWhenUsed/>
    <w:rsid w:val="007416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16DE"/>
  </w:style>
  <w:style w:type="paragraph" w:styleId="Piedepgina">
    <w:name w:val="footer"/>
    <w:basedOn w:val="Normal"/>
    <w:link w:val="PiedepginaCar"/>
    <w:uiPriority w:val="99"/>
    <w:unhideWhenUsed/>
    <w:rsid w:val="007416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16DE"/>
  </w:style>
  <w:style w:type="paragraph" w:styleId="NormalWeb">
    <w:name w:val="Normal (Web)"/>
    <w:basedOn w:val="Normal"/>
    <w:uiPriority w:val="99"/>
    <w:unhideWhenUsed/>
    <w:rsid w:val="00A3637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HTMLconformatoprevio">
    <w:name w:val="HTML Preformatted"/>
    <w:basedOn w:val="Normal"/>
    <w:link w:val="HTMLconformatoprevioCar"/>
    <w:uiPriority w:val="99"/>
    <w:semiHidden/>
    <w:unhideWhenUsed/>
    <w:rsid w:val="00A36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36379"/>
    <w:rPr>
      <w:rFonts w:ascii="Courier New" w:eastAsia="Times New Roman" w:hAnsi="Courier New" w:cs="Courier New"/>
      <w:sz w:val="20"/>
      <w:szCs w:val="20"/>
      <w:lang w:eastAsia="es-MX"/>
    </w:rPr>
  </w:style>
  <w:style w:type="character" w:customStyle="1" w:styleId="Ttulo1Car">
    <w:name w:val="Título 1 Car"/>
    <w:basedOn w:val="Fuentedeprrafopredeter"/>
    <w:link w:val="Ttulo1"/>
    <w:uiPriority w:val="9"/>
    <w:rsid w:val="0051650D"/>
    <w:rPr>
      <w:rFonts w:ascii="Times New Roman" w:eastAsia="Times New Roman" w:hAnsi="Times New Roman" w:cs="Times New Roman"/>
      <w:b/>
      <w:bCs/>
      <w:kern w:val="36"/>
      <w:sz w:val="48"/>
      <w:szCs w:val="48"/>
      <w:lang w:val="es-ES" w:eastAsia="es-ES"/>
    </w:rPr>
  </w:style>
  <w:style w:type="paragraph" w:customStyle="1" w:styleId="Listamulticolor-nfasis11">
    <w:name w:val="Lista multicolor - Énfasis 11"/>
    <w:basedOn w:val="Normal"/>
    <w:qFormat/>
    <w:rsid w:val="0051650D"/>
    <w:pPr>
      <w:spacing w:after="0" w:line="240" w:lineRule="auto"/>
      <w:ind w:left="720"/>
      <w:contextualSpacing/>
    </w:pPr>
    <w:rPr>
      <w:rFonts w:ascii="Cambria" w:eastAsia="Cambria" w:hAnsi="Cambria" w:cs="Times New Roman"/>
      <w:sz w:val="24"/>
      <w:szCs w:val="24"/>
      <w:lang w:val="en-US"/>
    </w:rPr>
  </w:style>
  <w:style w:type="character" w:customStyle="1" w:styleId="apple-converted-space">
    <w:name w:val="apple-converted-space"/>
    <w:basedOn w:val="Fuentedeprrafopredeter"/>
    <w:rsid w:val="0051650D"/>
  </w:style>
  <w:style w:type="paragraph" w:customStyle="1" w:styleId="desc">
    <w:name w:val="desc"/>
    <w:basedOn w:val="Normal"/>
    <w:rsid w:val="0051650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jrnl">
    <w:name w:val="jrnl"/>
    <w:basedOn w:val="Fuentedeprrafopredeter"/>
    <w:rsid w:val="0051650D"/>
  </w:style>
  <w:style w:type="character" w:customStyle="1" w:styleId="highlight">
    <w:name w:val="highlight"/>
    <w:basedOn w:val="Fuentedeprrafopredeter"/>
    <w:rsid w:val="0051650D"/>
  </w:style>
  <w:style w:type="table" w:styleId="Tablaconcuadrcula">
    <w:name w:val="Table Grid"/>
    <w:basedOn w:val="Tablanormal"/>
    <w:uiPriority w:val="59"/>
    <w:rsid w:val="001B6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83728">
      <w:bodyDiv w:val="1"/>
      <w:marLeft w:val="0"/>
      <w:marRight w:val="0"/>
      <w:marTop w:val="0"/>
      <w:marBottom w:val="0"/>
      <w:divBdr>
        <w:top w:val="none" w:sz="0" w:space="0" w:color="auto"/>
        <w:left w:val="none" w:sz="0" w:space="0" w:color="auto"/>
        <w:bottom w:val="none" w:sz="0" w:space="0" w:color="auto"/>
        <w:right w:val="none" w:sz="0" w:space="0" w:color="auto"/>
      </w:divBdr>
    </w:div>
    <w:div w:id="174342276">
      <w:bodyDiv w:val="1"/>
      <w:marLeft w:val="0"/>
      <w:marRight w:val="0"/>
      <w:marTop w:val="0"/>
      <w:marBottom w:val="0"/>
      <w:divBdr>
        <w:top w:val="none" w:sz="0" w:space="0" w:color="auto"/>
        <w:left w:val="none" w:sz="0" w:space="0" w:color="auto"/>
        <w:bottom w:val="none" w:sz="0" w:space="0" w:color="auto"/>
        <w:right w:val="none" w:sz="0" w:space="0" w:color="auto"/>
      </w:divBdr>
      <w:divsChild>
        <w:div w:id="333609326">
          <w:marLeft w:val="0"/>
          <w:marRight w:val="0"/>
          <w:marTop w:val="0"/>
          <w:marBottom w:val="0"/>
          <w:divBdr>
            <w:top w:val="none" w:sz="0" w:space="0" w:color="auto"/>
            <w:left w:val="none" w:sz="0" w:space="0" w:color="auto"/>
            <w:bottom w:val="none" w:sz="0" w:space="0" w:color="auto"/>
            <w:right w:val="none" w:sz="0" w:space="0" w:color="auto"/>
          </w:divBdr>
          <w:divsChild>
            <w:div w:id="539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56715">
      <w:bodyDiv w:val="1"/>
      <w:marLeft w:val="0"/>
      <w:marRight w:val="0"/>
      <w:marTop w:val="0"/>
      <w:marBottom w:val="0"/>
      <w:divBdr>
        <w:top w:val="none" w:sz="0" w:space="0" w:color="auto"/>
        <w:left w:val="none" w:sz="0" w:space="0" w:color="auto"/>
        <w:bottom w:val="none" w:sz="0" w:space="0" w:color="auto"/>
        <w:right w:val="none" w:sz="0" w:space="0" w:color="auto"/>
      </w:divBdr>
      <w:divsChild>
        <w:div w:id="36514393">
          <w:marLeft w:val="0"/>
          <w:marRight w:val="0"/>
          <w:marTop w:val="0"/>
          <w:marBottom w:val="0"/>
          <w:divBdr>
            <w:top w:val="none" w:sz="0" w:space="0" w:color="auto"/>
            <w:left w:val="none" w:sz="0" w:space="0" w:color="auto"/>
            <w:bottom w:val="none" w:sz="0" w:space="0" w:color="auto"/>
            <w:right w:val="none" w:sz="0" w:space="0" w:color="auto"/>
          </w:divBdr>
          <w:divsChild>
            <w:div w:id="9463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6861">
      <w:bodyDiv w:val="1"/>
      <w:marLeft w:val="0"/>
      <w:marRight w:val="0"/>
      <w:marTop w:val="0"/>
      <w:marBottom w:val="0"/>
      <w:divBdr>
        <w:top w:val="none" w:sz="0" w:space="0" w:color="auto"/>
        <w:left w:val="none" w:sz="0" w:space="0" w:color="auto"/>
        <w:bottom w:val="none" w:sz="0" w:space="0" w:color="auto"/>
        <w:right w:val="none" w:sz="0" w:space="0" w:color="auto"/>
      </w:divBdr>
      <w:divsChild>
        <w:div w:id="684598114">
          <w:marLeft w:val="0"/>
          <w:marRight w:val="1"/>
          <w:marTop w:val="0"/>
          <w:marBottom w:val="0"/>
          <w:divBdr>
            <w:top w:val="none" w:sz="0" w:space="0" w:color="auto"/>
            <w:left w:val="none" w:sz="0" w:space="0" w:color="auto"/>
            <w:bottom w:val="none" w:sz="0" w:space="0" w:color="auto"/>
            <w:right w:val="none" w:sz="0" w:space="0" w:color="auto"/>
          </w:divBdr>
          <w:divsChild>
            <w:div w:id="662439597">
              <w:marLeft w:val="0"/>
              <w:marRight w:val="0"/>
              <w:marTop w:val="0"/>
              <w:marBottom w:val="0"/>
              <w:divBdr>
                <w:top w:val="none" w:sz="0" w:space="0" w:color="auto"/>
                <w:left w:val="none" w:sz="0" w:space="0" w:color="auto"/>
                <w:bottom w:val="none" w:sz="0" w:space="0" w:color="auto"/>
                <w:right w:val="none" w:sz="0" w:space="0" w:color="auto"/>
              </w:divBdr>
              <w:divsChild>
                <w:div w:id="890579091">
                  <w:marLeft w:val="0"/>
                  <w:marRight w:val="1"/>
                  <w:marTop w:val="0"/>
                  <w:marBottom w:val="0"/>
                  <w:divBdr>
                    <w:top w:val="none" w:sz="0" w:space="0" w:color="auto"/>
                    <w:left w:val="none" w:sz="0" w:space="0" w:color="auto"/>
                    <w:bottom w:val="none" w:sz="0" w:space="0" w:color="auto"/>
                    <w:right w:val="none" w:sz="0" w:space="0" w:color="auto"/>
                  </w:divBdr>
                  <w:divsChild>
                    <w:div w:id="265230813">
                      <w:marLeft w:val="0"/>
                      <w:marRight w:val="0"/>
                      <w:marTop w:val="0"/>
                      <w:marBottom w:val="0"/>
                      <w:divBdr>
                        <w:top w:val="none" w:sz="0" w:space="0" w:color="auto"/>
                        <w:left w:val="none" w:sz="0" w:space="0" w:color="auto"/>
                        <w:bottom w:val="none" w:sz="0" w:space="0" w:color="auto"/>
                        <w:right w:val="none" w:sz="0" w:space="0" w:color="auto"/>
                      </w:divBdr>
                      <w:divsChild>
                        <w:div w:id="456680018">
                          <w:marLeft w:val="0"/>
                          <w:marRight w:val="0"/>
                          <w:marTop w:val="0"/>
                          <w:marBottom w:val="0"/>
                          <w:divBdr>
                            <w:top w:val="none" w:sz="0" w:space="0" w:color="auto"/>
                            <w:left w:val="none" w:sz="0" w:space="0" w:color="auto"/>
                            <w:bottom w:val="none" w:sz="0" w:space="0" w:color="auto"/>
                            <w:right w:val="none" w:sz="0" w:space="0" w:color="auto"/>
                          </w:divBdr>
                          <w:divsChild>
                            <w:div w:id="1363432097">
                              <w:marLeft w:val="0"/>
                              <w:marRight w:val="0"/>
                              <w:marTop w:val="120"/>
                              <w:marBottom w:val="360"/>
                              <w:divBdr>
                                <w:top w:val="none" w:sz="0" w:space="0" w:color="auto"/>
                                <w:left w:val="none" w:sz="0" w:space="0" w:color="auto"/>
                                <w:bottom w:val="none" w:sz="0" w:space="0" w:color="auto"/>
                                <w:right w:val="none" w:sz="0" w:space="0" w:color="auto"/>
                              </w:divBdr>
                              <w:divsChild>
                                <w:div w:id="1010449134">
                                  <w:marLeft w:val="420"/>
                                  <w:marRight w:val="0"/>
                                  <w:marTop w:val="0"/>
                                  <w:marBottom w:val="0"/>
                                  <w:divBdr>
                                    <w:top w:val="none" w:sz="0" w:space="0" w:color="auto"/>
                                    <w:left w:val="none" w:sz="0" w:space="0" w:color="auto"/>
                                    <w:bottom w:val="none" w:sz="0" w:space="0" w:color="auto"/>
                                    <w:right w:val="none" w:sz="0" w:space="0" w:color="auto"/>
                                  </w:divBdr>
                                  <w:divsChild>
                                    <w:div w:id="521674335">
                                      <w:marLeft w:val="0"/>
                                      <w:marRight w:val="0"/>
                                      <w:marTop w:val="0"/>
                                      <w:marBottom w:val="0"/>
                                      <w:divBdr>
                                        <w:top w:val="none" w:sz="0" w:space="0" w:color="auto"/>
                                        <w:left w:val="none" w:sz="0" w:space="0" w:color="auto"/>
                                        <w:bottom w:val="none" w:sz="0" w:space="0" w:color="auto"/>
                                        <w:right w:val="none" w:sz="0" w:space="0" w:color="auto"/>
                                      </w:divBdr>
                                      <w:divsChild>
                                        <w:div w:id="201499504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http://www.senasica.gob.mx"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43470-56F5-4734-AEAE-67D15DF62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10352</Words>
  <Characters>56939</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dc:creator>
  <cp:lastModifiedBy>Beti</cp:lastModifiedBy>
  <cp:revision>2</cp:revision>
  <cp:lastPrinted>2014-08-01T04:33:00Z</cp:lastPrinted>
  <dcterms:created xsi:type="dcterms:W3CDTF">2014-08-08T02:30:00Z</dcterms:created>
  <dcterms:modified xsi:type="dcterms:W3CDTF">2014-08-08T02:30:00Z</dcterms:modified>
</cp:coreProperties>
</file>